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07" w:rsidRDefault="006A7E07" w:rsidP="007E33A7">
      <w:pPr>
        <w:pStyle w:val="Heading2"/>
        <w:rPr>
          <w:noProof/>
          <w:lang w:val="en-GB" w:eastAsia="en-GB"/>
        </w:rPr>
      </w:pPr>
      <w:bookmarkStart w:id="0" w:name="_Toc514663963"/>
      <w:r w:rsidRPr="005F1EAF">
        <w:rPr>
          <w:noProof/>
          <w:szCs w:val="20"/>
          <w:lang w:eastAsia="en-GB"/>
        </w:rPr>
        <w:drawing>
          <wp:anchor distT="0" distB="0" distL="114300" distR="114300" simplePos="0" relativeHeight="251659264" behindDoc="1" locked="0" layoutInCell="0" allowOverlap="1" wp14:anchorId="26AEE467" wp14:editId="1E7D1491">
            <wp:simplePos x="0" y="0"/>
            <wp:positionH relativeFrom="column">
              <wp:posOffset>3728085</wp:posOffset>
            </wp:positionH>
            <wp:positionV relativeFrom="paragraph">
              <wp:posOffset>-247650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E07" w:rsidRDefault="006A7E07" w:rsidP="007E33A7">
      <w:pPr>
        <w:pStyle w:val="Heading2"/>
        <w:rPr>
          <w:noProof/>
          <w:lang w:val="en-GB" w:eastAsia="en-GB"/>
        </w:rPr>
      </w:pPr>
    </w:p>
    <w:p w:rsidR="007E33A7" w:rsidRPr="005F1EAF" w:rsidRDefault="007E33A7" w:rsidP="007E33A7">
      <w:pPr>
        <w:pStyle w:val="Heading2"/>
        <w:rPr>
          <w:noProof/>
        </w:rPr>
      </w:pPr>
      <w:r w:rsidRPr="005F1EAF">
        <w:rPr>
          <w:noProof/>
        </w:rPr>
        <w:t>APPENDIX B In Scope of IR35</w:t>
      </w:r>
      <w:bookmarkEnd w:id="0"/>
    </w:p>
    <w:p w:rsidR="007E33A7" w:rsidRPr="005F1EAF" w:rsidRDefault="007E33A7" w:rsidP="007E33A7">
      <w:pPr>
        <w:rPr>
          <w:rFonts w:cs="Arial"/>
        </w:rPr>
      </w:pPr>
    </w:p>
    <w:p w:rsidR="007E33A7" w:rsidRPr="005F1EAF" w:rsidRDefault="007E33A7" w:rsidP="007E33A7">
      <w:pPr>
        <w:rPr>
          <w:rFonts w:cs="Arial"/>
        </w:rPr>
      </w:pPr>
    </w:p>
    <w:tbl>
      <w:tblPr>
        <w:tblW w:w="9441" w:type="dxa"/>
        <w:jc w:val="center"/>
        <w:tblInd w:w="-153" w:type="dxa"/>
        <w:tblLook w:val="0000" w:firstRow="0" w:lastRow="0" w:firstColumn="0" w:lastColumn="0" w:noHBand="0" w:noVBand="0"/>
      </w:tblPr>
      <w:tblGrid>
        <w:gridCol w:w="4761"/>
        <w:gridCol w:w="4680"/>
      </w:tblGrid>
      <w:tr w:rsidR="007E33A7" w:rsidRPr="005F1EAF" w:rsidTr="000C38E8">
        <w:trPr>
          <w:jc w:val="center"/>
        </w:trPr>
        <w:tc>
          <w:tcPr>
            <w:tcW w:w="4761" w:type="dxa"/>
          </w:tcPr>
          <w:p w:rsidR="007E33A7" w:rsidRPr="005F1EAF" w:rsidRDefault="007E33A7" w:rsidP="000C38E8">
            <w:pPr>
              <w:spacing w:before="120"/>
              <w:rPr>
                <w:color w:val="006600"/>
                <w:sz w:val="22"/>
                <w:szCs w:val="22"/>
              </w:rPr>
            </w:pPr>
            <w:r w:rsidRPr="005F1EAF">
              <w:rPr>
                <w:color w:val="006600"/>
                <w:sz w:val="22"/>
                <w:szCs w:val="22"/>
              </w:rPr>
              <w:t>&lt;&lt;insert date&gt;&gt;</w:t>
            </w:r>
          </w:p>
          <w:p w:rsidR="007E33A7" w:rsidRPr="005F1EAF" w:rsidRDefault="007E33A7" w:rsidP="000C38E8">
            <w:pPr>
              <w:spacing w:before="120"/>
              <w:rPr>
                <w:rFonts w:cs="Arial"/>
                <w:color w:val="000000"/>
                <w:sz w:val="22"/>
                <w:szCs w:val="22"/>
                <w:shd w:val="clear" w:color="auto" w:fill="FFFFFF"/>
              </w:rPr>
            </w:pPr>
          </w:p>
          <w:p w:rsidR="007E33A7" w:rsidRPr="005F1EAF" w:rsidRDefault="007E33A7" w:rsidP="000C38E8">
            <w:pPr>
              <w:spacing w:before="120"/>
              <w:ind w:left="-283"/>
              <w:rPr>
                <w:rFonts w:cs="Arial"/>
                <w:sz w:val="22"/>
                <w:szCs w:val="22"/>
              </w:rPr>
            </w:pPr>
          </w:p>
        </w:tc>
        <w:tc>
          <w:tcPr>
            <w:tcW w:w="4680" w:type="dxa"/>
          </w:tcPr>
          <w:p w:rsidR="007E33A7" w:rsidRPr="005F1EAF" w:rsidRDefault="007E33A7" w:rsidP="000C38E8">
            <w:pPr>
              <w:spacing w:before="120"/>
              <w:rPr>
                <w:rFonts w:cs="Arial"/>
                <w:sz w:val="22"/>
                <w:szCs w:val="22"/>
              </w:rPr>
            </w:pPr>
            <w:r w:rsidRPr="005F1EAF">
              <w:rPr>
                <w:rFonts w:cs="Arial"/>
                <w:sz w:val="22"/>
                <w:szCs w:val="22"/>
              </w:rPr>
              <w:t xml:space="preserve">Lincolnshire County Council </w:t>
            </w:r>
          </w:p>
          <w:p w:rsidR="007E33A7" w:rsidRPr="005F1EAF" w:rsidRDefault="007E33A7" w:rsidP="000C38E8">
            <w:pPr>
              <w:rPr>
                <w:rFonts w:cs="Arial"/>
                <w:sz w:val="22"/>
                <w:szCs w:val="22"/>
              </w:rPr>
            </w:pPr>
            <w:r w:rsidRPr="005F1EAF">
              <w:rPr>
                <w:rFonts w:cs="Arial"/>
                <w:sz w:val="22"/>
                <w:szCs w:val="22"/>
              </w:rPr>
              <w:t>County Offices</w:t>
            </w:r>
          </w:p>
          <w:p w:rsidR="007E33A7" w:rsidRPr="005F1EAF" w:rsidRDefault="007E33A7" w:rsidP="000C38E8">
            <w:pPr>
              <w:rPr>
                <w:rFonts w:cs="Arial"/>
                <w:sz w:val="22"/>
                <w:szCs w:val="22"/>
              </w:rPr>
            </w:pPr>
            <w:r w:rsidRPr="005F1EAF">
              <w:rPr>
                <w:rFonts w:cs="Arial"/>
                <w:sz w:val="22"/>
                <w:szCs w:val="22"/>
              </w:rPr>
              <w:t>Newland</w:t>
            </w:r>
          </w:p>
          <w:p w:rsidR="007E33A7" w:rsidRPr="005F1EAF" w:rsidRDefault="007E33A7" w:rsidP="000C38E8">
            <w:pPr>
              <w:rPr>
                <w:rFonts w:cs="Arial"/>
                <w:sz w:val="22"/>
                <w:szCs w:val="22"/>
              </w:rPr>
            </w:pPr>
            <w:r w:rsidRPr="005F1EAF">
              <w:rPr>
                <w:rFonts w:cs="Arial"/>
                <w:sz w:val="22"/>
                <w:szCs w:val="22"/>
              </w:rPr>
              <w:t xml:space="preserve">Lincoln  LN1 1YL </w:t>
            </w:r>
          </w:p>
          <w:p w:rsidR="007E33A7" w:rsidRPr="005F1EAF" w:rsidRDefault="007E33A7" w:rsidP="000C38E8">
            <w:pPr>
              <w:rPr>
                <w:rFonts w:cs="Arial"/>
                <w:sz w:val="22"/>
                <w:szCs w:val="22"/>
              </w:rPr>
            </w:pPr>
          </w:p>
        </w:tc>
      </w:tr>
    </w:tbl>
    <w:p w:rsidR="007E33A7" w:rsidRPr="005F1EAF" w:rsidRDefault="007E33A7" w:rsidP="007E33A7">
      <w:pPr>
        <w:ind w:left="-397" w:firstLine="397"/>
        <w:rPr>
          <w:rFonts w:cs="Arial"/>
          <w:i/>
          <w:sz w:val="22"/>
          <w:szCs w:val="22"/>
        </w:rPr>
      </w:pPr>
      <w:r w:rsidRPr="005F1EAF">
        <w:rPr>
          <w:rFonts w:cs="Arial"/>
          <w:sz w:val="22"/>
          <w:szCs w:val="22"/>
        </w:rPr>
        <w:t>Dear T</w:t>
      </w:r>
      <w:r w:rsidRPr="005F1EAF">
        <w:rPr>
          <w:rFonts w:cs="Arial"/>
          <w:i/>
          <w:sz w:val="22"/>
          <w:szCs w:val="22"/>
        </w:rPr>
        <w:t>emporary Worker,</w:t>
      </w:r>
    </w:p>
    <w:p w:rsidR="007E33A7" w:rsidRPr="005F1EAF" w:rsidRDefault="007E33A7" w:rsidP="007E33A7">
      <w:pPr>
        <w:ind w:left="-397"/>
        <w:rPr>
          <w:rFonts w:cs="Arial"/>
          <w:sz w:val="22"/>
          <w:szCs w:val="22"/>
        </w:rPr>
      </w:pPr>
    </w:p>
    <w:p w:rsidR="007E33A7" w:rsidRPr="005F1EAF" w:rsidRDefault="007E33A7" w:rsidP="007E33A7">
      <w:pPr>
        <w:ind w:left="720" w:hanging="720"/>
        <w:rPr>
          <w:rFonts w:cs="Arial"/>
          <w:b/>
          <w:bCs/>
          <w:iCs/>
          <w:sz w:val="22"/>
          <w:szCs w:val="22"/>
        </w:rPr>
      </w:pPr>
      <w:r w:rsidRPr="005F1EAF">
        <w:rPr>
          <w:rFonts w:cs="Arial"/>
          <w:b/>
          <w:bCs/>
          <w:iCs/>
          <w:sz w:val="22"/>
          <w:szCs w:val="22"/>
        </w:rPr>
        <w:t xml:space="preserve">RE: </w:t>
      </w:r>
      <w:r w:rsidRPr="005F1EAF">
        <w:rPr>
          <w:rFonts w:cs="Arial"/>
          <w:b/>
          <w:bCs/>
          <w:iCs/>
          <w:sz w:val="22"/>
          <w:szCs w:val="22"/>
        </w:rPr>
        <w:tab/>
        <w:t>IR35 new statutory duty for public sector bodies</w:t>
      </w:r>
    </w:p>
    <w:p w:rsidR="007E33A7" w:rsidRPr="005F1EAF" w:rsidRDefault="007E33A7" w:rsidP="007E33A7">
      <w:pPr>
        <w:rPr>
          <w:rFonts w:cs="Arial"/>
          <w:sz w:val="22"/>
          <w:szCs w:val="22"/>
        </w:rPr>
      </w:pPr>
    </w:p>
    <w:p w:rsidR="007E33A7" w:rsidRPr="005F1EAF" w:rsidRDefault="007E33A7" w:rsidP="007E33A7">
      <w:pPr>
        <w:rPr>
          <w:rFonts w:cs="Arial"/>
          <w:sz w:val="22"/>
          <w:szCs w:val="22"/>
        </w:rPr>
      </w:pPr>
      <w:r w:rsidRPr="005F1EAF">
        <w:rPr>
          <w:rFonts w:cs="Arial"/>
          <w:sz w:val="22"/>
          <w:szCs w:val="22"/>
        </w:rPr>
        <w:t>I am writing to let you know about the change of law from 6</w:t>
      </w:r>
      <w:r w:rsidRPr="005F1EAF">
        <w:rPr>
          <w:rFonts w:cs="Arial"/>
          <w:sz w:val="22"/>
          <w:szCs w:val="22"/>
          <w:vertAlign w:val="superscript"/>
        </w:rPr>
        <w:t>th</w:t>
      </w:r>
      <w:r w:rsidRPr="005F1EAF">
        <w:rPr>
          <w:rFonts w:cs="Arial"/>
          <w:sz w:val="22"/>
          <w:szCs w:val="22"/>
        </w:rPr>
        <w:t xml:space="preserve"> April 2017 which means that, under the revised statutory Regulation IR35, the Council as the employer may be required by HMRC to withhold Pay As You Earn and national insurance contributions on any payments we make to temporary workers acting through a personal services company (PSC). </w:t>
      </w:r>
    </w:p>
    <w:p w:rsidR="007E33A7" w:rsidRPr="005F1EAF" w:rsidRDefault="007E33A7" w:rsidP="007E33A7">
      <w:pPr>
        <w:rPr>
          <w:rFonts w:cs="Arial"/>
          <w:sz w:val="22"/>
          <w:szCs w:val="22"/>
        </w:rPr>
      </w:pPr>
    </w:p>
    <w:p w:rsidR="007E33A7" w:rsidRPr="005F1EAF" w:rsidRDefault="007E33A7" w:rsidP="007E33A7">
      <w:pPr>
        <w:rPr>
          <w:rFonts w:cs="Arial"/>
          <w:sz w:val="22"/>
          <w:szCs w:val="22"/>
        </w:rPr>
      </w:pPr>
      <w:r w:rsidRPr="005F1EAF">
        <w:rPr>
          <w:rFonts w:cs="Arial"/>
          <w:sz w:val="22"/>
          <w:szCs w:val="22"/>
        </w:rPr>
        <w:t xml:space="preserve">Some temporary workers are currently engaged via employment agencies </w:t>
      </w:r>
      <w:proofErr w:type="gramStart"/>
      <w:r w:rsidRPr="005F1EAF">
        <w:rPr>
          <w:rFonts w:cs="Arial"/>
          <w:sz w:val="22"/>
          <w:szCs w:val="22"/>
        </w:rPr>
        <w:t>who</w:t>
      </w:r>
      <w:proofErr w:type="gramEnd"/>
      <w:r w:rsidRPr="005F1EAF">
        <w:rPr>
          <w:rFonts w:cs="Arial"/>
          <w:sz w:val="22"/>
          <w:szCs w:val="22"/>
        </w:rPr>
        <w:t xml:space="preserve"> already make those deductions. However, in your case, as the deductions are not being taken by a third party, we believe we are responsible to make the deductions.</w:t>
      </w:r>
    </w:p>
    <w:p w:rsidR="007E33A7" w:rsidRPr="005F1EAF" w:rsidRDefault="007E33A7" w:rsidP="007E33A7">
      <w:pPr>
        <w:rPr>
          <w:rFonts w:cs="Arial"/>
          <w:sz w:val="22"/>
          <w:szCs w:val="22"/>
        </w:rPr>
      </w:pPr>
    </w:p>
    <w:p w:rsidR="007E33A7" w:rsidRPr="005F1EAF" w:rsidRDefault="007E33A7" w:rsidP="007E33A7">
      <w:pPr>
        <w:rPr>
          <w:rFonts w:cs="Arial"/>
          <w:sz w:val="22"/>
          <w:szCs w:val="22"/>
        </w:rPr>
      </w:pPr>
      <w:r w:rsidRPr="005F1EAF">
        <w:rPr>
          <w:rFonts w:cs="Arial"/>
          <w:sz w:val="22"/>
          <w:szCs w:val="22"/>
        </w:rPr>
        <w:t xml:space="preserve">We have come to this conclusion having discussed your working arrangements and compared this to the HMRC IR35 guidelines and online tool.  </w:t>
      </w:r>
    </w:p>
    <w:p w:rsidR="007E33A7" w:rsidRPr="005F1EAF" w:rsidRDefault="007E33A7" w:rsidP="007E33A7">
      <w:pPr>
        <w:rPr>
          <w:rFonts w:cs="Arial"/>
          <w:i/>
          <w:sz w:val="22"/>
          <w:szCs w:val="22"/>
        </w:rPr>
      </w:pPr>
    </w:p>
    <w:p w:rsidR="007E33A7" w:rsidRPr="006A7E07" w:rsidRDefault="007E33A7" w:rsidP="007E33A7">
      <w:pPr>
        <w:rPr>
          <w:rFonts w:cs="Arial"/>
          <w:i/>
          <w:sz w:val="22"/>
          <w:szCs w:val="22"/>
        </w:rPr>
      </w:pPr>
      <w:r w:rsidRPr="005F1EAF">
        <w:rPr>
          <w:rFonts w:cs="Arial"/>
          <w:sz w:val="22"/>
          <w:szCs w:val="22"/>
        </w:rPr>
        <w:t>If you are not in agreement with this position, please inform the hiring manager who will need to complete a full assessment with you</w:t>
      </w:r>
      <w:r w:rsidRPr="005F1EAF">
        <w:rPr>
          <w:rFonts w:cs="Arial"/>
          <w:i/>
          <w:sz w:val="22"/>
          <w:szCs w:val="22"/>
        </w:rPr>
        <w:t xml:space="preserve">. </w:t>
      </w:r>
      <w:r w:rsidRPr="005F1EAF">
        <w:rPr>
          <w:rFonts w:cs="Arial"/>
          <w:sz w:val="22"/>
          <w:szCs w:val="22"/>
        </w:rPr>
        <w:t>The link to the service,  which will give you the view of HM Revenue and Customs (HMRC) on whether the</w:t>
      </w:r>
      <w:r w:rsidRPr="005F1EAF">
        <w:rPr>
          <w:rFonts w:cs="Arial"/>
          <w:sz w:val="22"/>
          <w:szCs w:val="22"/>
          <w:lang w:val="en"/>
        </w:rPr>
        <w:t xml:space="preserve"> </w:t>
      </w:r>
      <w:hyperlink r:id="rId7" w:history="1">
        <w:r w:rsidRPr="006A7E07">
          <w:rPr>
            <w:rStyle w:val="Hyperlink"/>
            <w:rFonts w:cs="Arial"/>
            <w:b/>
            <w:sz w:val="22"/>
            <w:szCs w:val="22"/>
            <w:u w:val="none"/>
            <w:lang w:val="en"/>
          </w:rPr>
          <w:t>intermediaries legislation (known as IR35)</w:t>
        </w:r>
      </w:hyperlink>
      <w:r w:rsidRPr="005F1EAF">
        <w:rPr>
          <w:rFonts w:cs="Arial"/>
          <w:sz w:val="22"/>
          <w:szCs w:val="22"/>
          <w:lang w:val="en"/>
        </w:rPr>
        <w:t xml:space="preserve"> </w:t>
      </w:r>
      <w:r w:rsidRPr="005F1EAF">
        <w:rPr>
          <w:rFonts w:cs="Arial"/>
          <w:sz w:val="22"/>
          <w:szCs w:val="22"/>
        </w:rPr>
        <w:t xml:space="preserve">applies to an engagement and a worker should pay tax </w:t>
      </w:r>
      <w:bookmarkStart w:id="1" w:name="_GoBack"/>
      <w:r w:rsidR="006A7E07" w:rsidRPr="006A7E07">
        <w:fldChar w:fldCharType="begin"/>
      </w:r>
      <w:r w:rsidR="006A7E07" w:rsidRPr="006A7E07">
        <w:instrText xml:space="preserve"> HYPERLINK "https://www.gov.uk/employment-status/selfemployed-contractor" </w:instrText>
      </w:r>
      <w:r w:rsidR="006A7E07" w:rsidRPr="006A7E07">
        <w:fldChar w:fldCharType="separate"/>
      </w:r>
      <w:r w:rsidRPr="006A7E07">
        <w:rPr>
          <w:rStyle w:val="Hyperlink"/>
          <w:rFonts w:cs="Arial"/>
          <w:b/>
          <w:sz w:val="22"/>
          <w:szCs w:val="22"/>
          <w:u w:val="none"/>
          <w:lang w:val="en"/>
        </w:rPr>
        <w:t>through PAYE</w:t>
      </w:r>
      <w:r w:rsidR="006A7E07" w:rsidRPr="006A7E07">
        <w:rPr>
          <w:rStyle w:val="Hyperlink"/>
          <w:rFonts w:cs="Arial"/>
          <w:b/>
          <w:sz w:val="22"/>
          <w:szCs w:val="22"/>
          <w:u w:val="none"/>
          <w:lang w:val="en"/>
        </w:rPr>
        <w:fldChar w:fldCharType="end"/>
      </w:r>
      <w:r w:rsidRPr="006A7E07">
        <w:rPr>
          <w:rFonts w:cs="Arial"/>
          <w:sz w:val="22"/>
          <w:szCs w:val="22"/>
          <w:lang w:val="en"/>
        </w:rPr>
        <w:t xml:space="preserve"> </w:t>
      </w:r>
      <w:bookmarkEnd w:id="1"/>
      <w:r w:rsidRPr="005F1EAF">
        <w:rPr>
          <w:rFonts w:cs="Arial"/>
          <w:sz w:val="22"/>
          <w:szCs w:val="22"/>
        </w:rPr>
        <w:t xml:space="preserve">for an engagement can be found </w:t>
      </w:r>
      <w:r w:rsidRPr="006A7E07">
        <w:rPr>
          <w:rFonts w:cs="Arial"/>
          <w:sz w:val="22"/>
          <w:szCs w:val="22"/>
        </w:rPr>
        <w:t xml:space="preserve">here </w:t>
      </w:r>
      <w:hyperlink r:id="rId8" w:history="1">
        <w:r w:rsidRPr="006A7E07">
          <w:rPr>
            <w:rStyle w:val="Hyperlink"/>
            <w:rFonts w:cs="Arial"/>
            <w:b/>
            <w:sz w:val="22"/>
            <w:szCs w:val="22"/>
            <w:u w:val="none"/>
          </w:rPr>
          <w:t>https://www.gov.uk/guidance/check-employment-status-for-tax</w:t>
        </w:r>
      </w:hyperlink>
      <w:r w:rsidRPr="006A7E07">
        <w:rPr>
          <w:rFonts w:cs="Arial"/>
          <w:sz w:val="22"/>
          <w:szCs w:val="22"/>
        </w:rPr>
        <w:t>.</w:t>
      </w:r>
    </w:p>
    <w:p w:rsidR="007E33A7" w:rsidRPr="005F1EAF" w:rsidRDefault="007E33A7" w:rsidP="007E33A7">
      <w:pPr>
        <w:rPr>
          <w:rFonts w:cs="Arial"/>
          <w:b/>
          <w:sz w:val="22"/>
          <w:szCs w:val="22"/>
        </w:rPr>
      </w:pPr>
    </w:p>
    <w:p w:rsidR="007E33A7" w:rsidRPr="005F1EAF" w:rsidRDefault="007E33A7" w:rsidP="007E33A7">
      <w:pPr>
        <w:rPr>
          <w:rFonts w:cs="Arial"/>
          <w:sz w:val="22"/>
          <w:szCs w:val="22"/>
        </w:rPr>
      </w:pPr>
      <w:r w:rsidRPr="005F1EAF">
        <w:rPr>
          <w:rFonts w:cs="Arial"/>
          <w:b/>
          <w:sz w:val="22"/>
          <w:szCs w:val="22"/>
        </w:rPr>
        <w:t>Next steps:</w:t>
      </w:r>
      <w:r w:rsidRPr="005F1EAF">
        <w:rPr>
          <w:rFonts w:cs="Arial"/>
          <w:sz w:val="22"/>
          <w:szCs w:val="22"/>
        </w:rPr>
        <w:t xml:space="preserve"> You will need to supply the hiring manager with:</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Tax Code</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National Insurance Number</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Date of Birth</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Personal Address</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P45 from previous employments if available</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The bank account details in to which payments will be made (if we do not already have these.)</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Company name</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Company number</w:t>
      </w:r>
    </w:p>
    <w:p w:rsidR="007E33A7" w:rsidRPr="005F1EAF" w:rsidRDefault="007E33A7" w:rsidP="007E33A7">
      <w:pPr>
        <w:pStyle w:val="ListParagraph"/>
        <w:numPr>
          <w:ilvl w:val="0"/>
          <w:numId w:val="1"/>
        </w:numPr>
        <w:spacing w:after="0"/>
        <w:contextualSpacing w:val="0"/>
        <w:rPr>
          <w:rFonts w:ascii="Arial" w:eastAsia="Times New Roman" w:hAnsi="Arial" w:cs="Arial"/>
          <w:lang w:eastAsia="en-GB"/>
        </w:rPr>
      </w:pPr>
      <w:r w:rsidRPr="005F1EAF">
        <w:rPr>
          <w:rFonts w:ascii="Arial" w:eastAsia="Times New Roman" w:hAnsi="Arial" w:cs="Arial"/>
          <w:lang w:eastAsia="en-GB"/>
        </w:rPr>
        <w:t>Company's address</w:t>
      </w:r>
    </w:p>
    <w:p w:rsidR="007E33A7" w:rsidRPr="005F1EAF" w:rsidRDefault="007E33A7" w:rsidP="007E33A7">
      <w:pPr>
        <w:pStyle w:val="ListParagraph"/>
        <w:numPr>
          <w:ilvl w:val="0"/>
          <w:numId w:val="1"/>
        </w:numPr>
        <w:rPr>
          <w:rFonts w:ascii="Arial" w:hAnsi="Arial" w:cs="Arial"/>
        </w:rPr>
      </w:pPr>
      <w:r w:rsidRPr="005F1EAF">
        <w:rPr>
          <w:rFonts w:ascii="Arial" w:hAnsi="Arial" w:cs="Arial"/>
          <w:lang w:eastAsia="en-GB"/>
        </w:rPr>
        <w:t>Registered company address (if different from above)</w:t>
      </w:r>
    </w:p>
    <w:p w:rsidR="007E33A7" w:rsidRPr="005F1EAF" w:rsidRDefault="007E33A7" w:rsidP="007E33A7">
      <w:pPr>
        <w:rPr>
          <w:rFonts w:cs="Arial"/>
          <w:sz w:val="22"/>
          <w:szCs w:val="22"/>
        </w:rPr>
      </w:pPr>
    </w:p>
    <w:p w:rsidR="007E33A7" w:rsidRPr="005F1EAF" w:rsidRDefault="007E33A7" w:rsidP="007E33A7">
      <w:pPr>
        <w:rPr>
          <w:rFonts w:cs="Arial"/>
          <w:sz w:val="22"/>
          <w:szCs w:val="22"/>
        </w:rPr>
      </w:pPr>
      <w:r w:rsidRPr="005F1EAF">
        <w:rPr>
          <w:rFonts w:cs="Arial"/>
          <w:sz w:val="22"/>
          <w:szCs w:val="22"/>
        </w:rPr>
        <w:t xml:space="preserve">This will enable the hiring manager to set you up on </w:t>
      </w:r>
      <w:r>
        <w:rPr>
          <w:rFonts w:cs="Arial"/>
          <w:sz w:val="22"/>
          <w:szCs w:val="22"/>
        </w:rPr>
        <w:t>Business World On!</w:t>
      </w:r>
      <w:r w:rsidRPr="005F1EAF">
        <w:rPr>
          <w:rFonts w:cs="Arial"/>
          <w:sz w:val="22"/>
          <w:szCs w:val="22"/>
        </w:rPr>
        <w:t xml:space="preserve"> </w:t>
      </w:r>
      <w:proofErr w:type="gramStart"/>
      <w:r w:rsidRPr="005F1EAF">
        <w:rPr>
          <w:rFonts w:cs="Arial"/>
          <w:sz w:val="22"/>
          <w:szCs w:val="22"/>
        </w:rPr>
        <w:t>to</w:t>
      </w:r>
      <w:proofErr w:type="gramEnd"/>
      <w:r w:rsidRPr="005F1EAF">
        <w:rPr>
          <w:rFonts w:cs="Arial"/>
          <w:sz w:val="22"/>
          <w:szCs w:val="22"/>
        </w:rPr>
        <w:t xml:space="preserve"> make tax and National Insurance deductions from payments after 6</w:t>
      </w:r>
      <w:r w:rsidRPr="005F1EAF">
        <w:rPr>
          <w:rFonts w:cs="Arial"/>
          <w:sz w:val="22"/>
          <w:szCs w:val="22"/>
          <w:vertAlign w:val="superscript"/>
        </w:rPr>
        <w:t>th</w:t>
      </w:r>
      <w:r w:rsidRPr="005F1EAF">
        <w:rPr>
          <w:rFonts w:cs="Arial"/>
          <w:sz w:val="22"/>
          <w:szCs w:val="22"/>
        </w:rPr>
        <w:t xml:space="preserve"> April 2017. Please note where you are paid by invoice the relevant deductions will be taken before paying the invoice. </w:t>
      </w:r>
    </w:p>
    <w:p w:rsidR="007E33A7" w:rsidRPr="005F1EAF" w:rsidRDefault="007E33A7" w:rsidP="007E33A7">
      <w:pPr>
        <w:rPr>
          <w:rFonts w:cs="Arial"/>
          <w:sz w:val="22"/>
          <w:szCs w:val="22"/>
        </w:rPr>
      </w:pPr>
    </w:p>
    <w:p w:rsidR="007E33A7" w:rsidRPr="005F1EAF" w:rsidRDefault="007E33A7" w:rsidP="007E33A7">
      <w:pPr>
        <w:rPr>
          <w:rFonts w:cs="Arial"/>
          <w:sz w:val="22"/>
          <w:szCs w:val="22"/>
        </w:rPr>
      </w:pPr>
      <w:r w:rsidRPr="005F1EAF">
        <w:rPr>
          <w:rFonts w:cs="Arial"/>
          <w:sz w:val="22"/>
          <w:szCs w:val="22"/>
        </w:rPr>
        <w:t>If you have any questions about IR35 or about this decision please contact the hiring manager to discuss.</w:t>
      </w:r>
    </w:p>
    <w:p w:rsidR="007E33A7" w:rsidRPr="005F1EAF" w:rsidRDefault="007E33A7" w:rsidP="007E33A7">
      <w:pPr>
        <w:rPr>
          <w:rFonts w:cs="Arial"/>
          <w:b/>
          <w:bCs/>
          <w:iCs/>
          <w:sz w:val="22"/>
          <w:szCs w:val="22"/>
        </w:rPr>
      </w:pPr>
    </w:p>
    <w:p w:rsidR="007E33A7" w:rsidRPr="005F1EAF" w:rsidRDefault="007E33A7" w:rsidP="007E33A7">
      <w:pPr>
        <w:ind w:left="-397" w:firstLine="397"/>
        <w:rPr>
          <w:rFonts w:cs="Arial"/>
          <w:sz w:val="22"/>
          <w:szCs w:val="22"/>
        </w:rPr>
      </w:pPr>
      <w:r w:rsidRPr="005F1EAF">
        <w:rPr>
          <w:rFonts w:cs="Arial"/>
          <w:sz w:val="22"/>
          <w:szCs w:val="22"/>
        </w:rPr>
        <w:t xml:space="preserve">Yours sincerely </w:t>
      </w:r>
    </w:p>
    <w:p w:rsidR="007E33A7" w:rsidRDefault="007E33A7" w:rsidP="007E33A7">
      <w:pPr>
        <w:ind w:left="-426" w:firstLine="426"/>
        <w:jc w:val="both"/>
        <w:rPr>
          <w:rFonts w:cs="Arial"/>
          <w:sz w:val="20"/>
          <w:szCs w:val="20"/>
        </w:rPr>
      </w:pPr>
    </w:p>
    <w:p w:rsidR="007E33A7" w:rsidRPr="009354D9" w:rsidRDefault="007E33A7" w:rsidP="007E33A7">
      <w:pPr>
        <w:ind w:left="-426" w:firstLine="426"/>
        <w:jc w:val="both"/>
        <w:rPr>
          <w:rFonts w:cs="Arial"/>
          <w:sz w:val="20"/>
          <w:szCs w:val="20"/>
        </w:rPr>
      </w:pPr>
    </w:p>
    <w:p w:rsidR="007E33A7" w:rsidRPr="009354D9" w:rsidRDefault="007E33A7" w:rsidP="007E33A7">
      <w:pPr>
        <w:ind w:left="-426" w:firstLine="426"/>
        <w:jc w:val="both"/>
        <w:rPr>
          <w:rFonts w:cs="Arial"/>
          <w:sz w:val="20"/>
          <w:szCs w:val="20"/>
        </w:rPr>
      </w:pPr>
    </w:p>
    <w:p w:rsidR="007E33A7" w:rsidRDefault="007E33A7" w:rsidP="007E33A7">
      <w:pPr>
        <w:ind w:left="-426" w:firstLine="426"/>
        <w:jc w:val="both"/>
        <w:rPr>
          <w:rFonts w:cs="Arial"/>
          <w:sz w:val="22"/>
          <w:szCs w:val="22"/>
        </w:rPr>
      </w:pPr>
      <w:r w:rsidRPr="005F1EAF">
        <w:rPr>
          <w:rFonts w:cs="Arial"/>
          <w:sz w:val="22"/>
          <w:szCs w:val="22"/>
        </w:rPr>
        <w:t>On behalf of Executive Director for &lt;&lt; insert Director Area&gt;&gt;</w:t>
      </w:r>
    </w:p>
    <w:p w:rsidR="007E33A7" w:rsidRDefault="007E33A7" w:rsidP="007E33A7">
      <w:pPr>
        <w:ind w:left="-426" w:firstLine="426"/>
        <w:jc w:val="both"/>
        <w:rPr>
          <w:rFonts w:cs="Arial"/>
          <w:sz w:val="22"/>
          <w:szCs w:val="22"/>
        </w:rPr>
      </w:pPr>
    </w:p>
    <w:sectPr w:rsidR="007E33A7" w:rsidSect="007E33A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53E"/>
    <w:multiLevelType w:val="hybridMultilevel"/>
    <w:tmpl w:val="B03ED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F1176C"/>
    <w:multiLevelType w:val="hybridMultilevel"/>
    <w:tmpl w:val="29A8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F925288"/>
    <w:multiLevelType w:val="hybridMultilevel"/>
    <w:tmpl w:val="03DC5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A7"/>
    <w:rsid w:val="002500E8"/>
    <w:rsid w:val="004B34E4"/>
    <w:rsid w:val="006A7E07"/>
    <w:rsid w:val="007E33A7"/>
    <w:rsid w:val="008A5818"/>
    <w:rsid w:val="00967E14"/>
    <w:rsid w:val="00AA636D"/>
    <w:rsid w:val="00AB6656"/>
    <w:rsid w:val="00B139BB"/>
    <w:rsid w:val="00E30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A7"/>
    <w:rPr>
      <w:rFonts w:ascii="Arial" w:eastAsia="Times New Roman" w:hAnsi="Arial"/>
      <w:sz w:val="24"/>
      <w:szCs w:val="24"/>
      <w:lang w:eastAsia="en-US"/>
    </w:rPr>
  </w:style>
  <w:style w:type="paragraph" w:styleId="Heading2">
    <w:name w:val="heading 2"/>
    <w:basedOn w:val="Normal"/>
    <w:next w:val="Normal"/>
    <w:link w:val="Heading2Char"/>
    <w:autoRedefine/>
    <w:qFormat/>
    <w:rsid w:val="007E33A7"/>
    <w:pPr>
      <w:keepNext/>
      <w:spacing w:before="240" w:after="60"/>
      <w:outlineLvl w:val="1"/>
    </w:pPr>
    <w:rPr>
      <w:rFonts w:cs="Arial"/>
      <w:b/>
      <w:bCs/>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3A7"/>
    <w:rPr>
      <w:rFonts w:ascii="Arial" w:eastAsia="Times New Roman" w:hAnsi="Arial" w:cs="Arial"/>
      <w:b/>
      <w:bCs/>
      <w:iCs/>
      <w:sz w:val="24"/>
      <w:szCs w:val="24"/>
      <w:lang w:val="en" w:eastAsia="en-US"/>
    </w:rPr>
  </w:style>
  <w:style w:type="paragraph" w:styleId="ListParagraph">
    <w:name w:val="List Paragraph"/>
    <w:basedOn w:val="Normal"/>
    <w:uiPriority w:val="34"/>
    <w:qFormat/>
    <w:rsid w:val="007E33A7"/>
    <w:pPr>
      <w:spacing w:after="8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E33A7"/>
    <w:rPr>
      <w:color w:val="0000FF" w:themeColor="hyperlink"/>
      <w:u w:val="single"/>
    </w:rPr>
  </w:style>
  <w:style w:type="table" w:customStyle="1" w:styleId="TableGrid1">
    <w:name w:val="Table Grid1"/>
    <w:basedOn w:val="TableNormal"/>
    <w:next w:val="TableGrid"/>
    <w:uiPriority w:val="59"/>
    <w:rsid w:val="007E33A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A7"/>
    <w:rPr>
      <w:rFonts w:ascii="Arial" w:eastAsia="Times New Roman" w:hAnsi="Arial"/>
      <w:sz w:val="24"/>
      <w:szCs w:val="24"/>
      <w:lang w:eastAsia="en-US"/>
    </w:rPr>
  </w:style>
  <w:style w:type="paragraph" w:styleId="Heading2">
    <w:name w:val="heading 2"/>
    <w:basedOn w:val="Normal"/>
    <w:next w:val="Normal"/>
    <w:link w:val="Heading2Char"/>
    <w:autoRedefine/>
    <w:qFormat/>
    <w:rsid w:val="007E33A7"/>
    <w:pPr>
      <w:keepNext/>
      <w:spacing w:before="240" w:after="60"/>
      <w:outlineLvl w:val="1"/>
    </w:pPr>
    <w:rPr>
      <w:rFonts w:cs="Arial"/>
      <w:b/>
      <w:bCs/>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3A7"/>
    <w:rPr>
      <w:rFonts w:ascii="Arial" w:eastAsia="Times New Roman" w:hAnsi="Arial" w:cs="Arial"/>
      <w:b/>
      <w:bCs/>
      <w:iCs/>
      <w:sz w:val="24"/>
      <w:szCs w:val="24"/>
      <w:lang w:val="en" w:eastAsia="en-US"/>
    </w:rPr>
  </w:style>
  <w:style w:type="paragraph" w:styleId="ListParagraph">
    <w:name w:val="List Paragraph"/>
    <w:basedOn w:val="Normal"/>
    <w:uiPriority w:val="34"/>
    <w:qFormat/>
    <w:rsid w:val="007E33A7"/>
    <w:pPr>
      <w:spacing w:after="80"/>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E33A7"/>
    <w:rPr>
      <w:color w:val="0000FF" w:themeColor="hyperlink"/>
      <w:u w:val="single"/>
    </w:rPr>
  </w:style>
  <w:style w:type="table" w:customStyle="1" w:styleId="TableGrid1">
    <w:name w:val="Table Grid1"/>
    <w:basedOn w:val="TableNormal"/>
    <w:next w:val="TableGrid"/>
    <w:uiPriority w:val="59"/>
    <w:rsid w:val="007E33A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eck-employment-status-for-tax" TargetMode="External"/><Relationship Id="rId3" Type="http://schemas.microsoft.com/office/2007/relationships/stylesWithEffects" Target="stylesWithEffects.xml"/><Relationship Id="rId7" Type="http://schemas.openxmlformats.org/officeDocument/2006/relationships/hyperlink" Target="https://www.gov.uk/guidance/ir35-find-out-if-it-appl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Janet Sheppard</cp:lastModifiedBy>
  <cp:revision>4</cp:revision>
  <dcterms:created xsi:type="dcterms:W3CDTF">2018-07-05T09:39:00Z</dcterms:created>
  <dcterms:modified xsi:type="dcterms:W3CDTF">2018-07-05T10:45:00Z</dcterms:modified>
</cp:coreProperties>
</file>