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D5AF6" w14:textId="7F087B36" w:rsidR="00220A7B" w:rsidRDefault="003A1882" w:rsidP="00997A48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  </w:t>
      </w:r>
      <w:r w:rsidR="00997A48" w:rsidRPr="00997A48">
        <w:rPr>
          <w:sz w:val="52"/>
          <w:szCs w:val="52"/>
        </w:rPr>
        <w:t>CRITICAL MEDICINES</w:t>
      </w:r>
    </w:p>
    <w:p w14:paraId="0B08E272" w14:textId="6EE3D387" w:rsidR="00997A48" w:rsidRPr="00997A48" w:rsidRDefault="00997A48" w:rsidP="00997A48">
      <w:pPr>
        <w:pStyle w:val="NoSpacing"/>
        <w:jc w:val="center"/>
        <w:rPr>
          <w:color w:val="833C0B" w:themeColor="accent2" w:themeShade="80"/>
        </w:rPr>
      </w:pPr>
      <w:r w:rsidRPr="00997A48">
        <w:rPr>
          <w:color w:val="833C0B" w:themeColor="accent2" w:themeShade="80"/>
        </w:rPr>
        <w:t>(This list is not exhaustive and the most common examples of each group have been given)</w:t>
      </w:r>
    </w:p>
    <w:p w14:paraId="6F2F95BC" w14:textId="6ECE43F2" w:rsidR="00997A48" w:rsidRDefault="00997A48" w:rsidP="00997A48">
      <w:pPr>
        <w:pStyle w:val="NoSpacing"/>
        <w:jc w:val="center"/>
        <w:rPr>
          <w:sz w:val="20"/>
          <w:szCs w:val="20"/>
        </w:rPr>
      </w:pPr>
      <w:r w:rsidRPr="00997A48">
        <w:rPr>
          <w:sz w:val="20"/>
          <w:szCs w:val="20"/>
        </w:rPr>
        <w:t>No doses of medicines should be missed, however this is a list of common critical medicines that should NEVER be omitted unless there is a valid clinical or safety reason that the medicine cannot be given. Reasons for omission and any appropriate escalation should always be documented.</w:t>
      </w:r>
    </w:p>
    <w:tbl>
      <w:tblPr>
        <w:tblStyle w:val="GridTable2-Accent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626"/>
      </w:tblGrid>
      <w:tr w:rsidR="00997A48" w14:paraId="3804C7D8" w14:textId="77777777" w:rsidTr="007701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B673716" w14:textId="0CC52E4C" w:rsidR="00997A48" w:rsidRDefault="00997A48" w:rsidP="00357785">
            <w:pPr>
              <w:pStyle w:val="NoSpacing"/>
              <w:jc w:val="center"/>
              <w:rPr>
                <w:sz w:val="20"/>
                <w:szCs w:val="20"/>
              </w:rPr>
            </w:pPr>
            <w:r>
              <w:t>Antimicrobial agent</w:t>
            </w:r>
          </w:p>
        </w:tc>
        <w:tc>
          <w:tcPr>
            <w:tcW w:w="762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FEC902F" w14:textId="77777777" w:rsidR="00997A48" w:rsidRPr="003A1882" w:rsidRDefault="00997A48" w:rsidP="00997A4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A1882">
              <w:rPr>
                <w:b w:val="0"/>
                <w:bCs w:val="0"/>
              </w:rPr>
              <w:t xml:space="preserve">Antibiotics </w:t>
            </w:r>
          </w:p>
          <w:p w14:paraId="384CDFEB" w14:textId="77777777" w:rsidR="00997A48" w:rsidRPr="003A1882" w:rsidRDefault="00997A48" w:rsidP="00997A4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3A1882">
              <w:rPr>
                <w:b w:val="0"/>
                <w:bCs w:val="0"/>
              </w:rPr>
              <w:t xml:space="preserve">Antifungals </w:t>
            </w:r>
          </w:p>
          <w:p w14:paraId="01B92D20" w14:textId="7C9D4429" w:rsidR="00997A48" w:rsidRPr="003A1882" w:rsidRDefault="00997A48" w:rsidP="00997A48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3A1882">
              <w:rPr>
                <w:b w:val="0"/>
                <w:bCs w:val="0"/>
              </w:rPr>
              <w:t>Antivirals including antiretroviral agents for HIV treatment</w:t>
            </w:r>
          </w:p>
        </w:tc>
      </w:tr>
      <w:tr w:rsidR="00997A48" w14:paraId="573DFFBC" w14:textId="77777777" w:rsidTr="00770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9740CDA" w14:textId="0716E231" w:rsidR="00997A48" w:rsidRDefault="00997A48" w:rsidP="00357785">
            <w:pPr>
              <w:pStyle w:val="NoSpacing"/>
              <w:tabs>
                <w:tab w:val="left" w:pos="760"/>
              </w:tabs>
              <w:jc w:val="center"/>
              <w:rPr>
                <w:sz w:val="20"/>
                <w:szCs w:val="20"/>
              </w:rPr>
            </w:pPr>
            <w:r>
              <w:t>Anticoagulant</w:t>
            </w:r>
          </w:p>
        </w:tc>
        <w:tc>
          <w:tcPr>
            <w:tcW w:w="7626" w:type="dxa"/>
          </w:tcPr>
          <w:p w14:paraId="58D2260F" w14:textId="77777777" w:rsidR="002C4BD9" w:rsidRDefault="00997A48" w:rsidP="00997A48">
            <w:pPr>
              <w:pStyle w:val="NoSpacing"/>
              <w:tabs>
                <w:tab w:val="left" w:pos="1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Acenocoumarol </w:t>
            </w:r>
            <w:r w:rsidRPr="00770129">
              <w:rPr>
                <w:sz w:val="20"/>
                <w:szCs w:val="20"/>
              </w:rPr>
              <w:t>(Sinthrome®)</w:t>
            </w:r>
          </w:p>
          <w:p w14:paraId="3C7A5BE2" w14:textId="12F19447" w:rsidR="00997A48" w:rsidRDefault="00997A48" w:rsidP="00997A48">
            <w:pPr>
              <w:pStyle w:val="NoSpacing"/>
              <w:tabs>
                <w:tab w:val="left" w:pos="1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Dabigatran </w:t>
            </w:r>
            <w:r w:rsidRPr="00770129">
              <w:rPr>
                <w:sz w:val="20"/>
                <w:szCs w:val="20"/>
              </w:rPr>
              <w:t>(Pradaxa®)</w:t>
            </w:r>
            <w:r>
              <w:t xml:space="preserve">/ Edoxaban </w:t>
            </w:r>
            <w:r w:rsidRPr="00770129">
              <w:rPr>
                <w:sz w:val="20"/>
                <w:szCs w:val="20"/>
              </w:rPr>
              <w:t xml:space="preserve">(Lixiana®) </w:t>
            </w:r>
          </w:p>
          <w:p w14:paraId="7104D839" w14:textId="77777777" w:rsidR="002C4BD9" w:rsidRDefault="002C4BD9" w:rsidP="002C4BD9">
            <w:pPr>
              <w:pStyle w:val="NoSpacing"/>
              <w:tabs>
                <w:tab w:val="left" w:pos="1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Direct Acting Oral Anticoagulants - Apixaban </w:t>
            </w:r>
            <w:r w:rsidRPr="003A1882">
              <w:rPr>
                <w:sz w:val="20"/>
                <w:szCs w:val="20"/>
              </w:rPr>
              <w:t>(Eliquis®)</w:t>
            </w:r>
            <w:r>
              <w:t xml:space="preserve">/ Rivaroxaban </w:t>
            </w:r>
            <w:r w:rsidRPr="003A1882">
              <w:rPr>
                <w:sz w:val="20"/>
                <w:szCs w:val="20"/>
              </w:rPr>
              <w:t>(Xarelto®)</w:t>
            </w:r>
            <w:r w:rsidRPr="003A1882">
              <w:t>/</w:t>
            </w:r>
            <w:r w:rsidRPr="003A1882">
              <w:rPr>
                <w:sz w:val="20"/>
                <w:szCs w:val="20"/>
              </w:rPr>
              <w:t xml:space="preserve"> </w:t>
            </w:r>
          </w:p>
          <w:p w14:paraId="61E7F9FE" w14:textId="77777777" w:rsidR="002C4BD9" w:rsidRDefault="002C4BD9" w:rsidP="002C4BD9">
            <w:pPr>
              <w:pStyle w:val="NoSpacing"/>
              <w:tabs>
                <w:tab w:val="left" w:pos="1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IV heparin </w:t>
            </w:r>
          </w:p>
          <w:p w14:paraId="7026DA4B" w14:textId="7A6CD6D3" w:rsidR="00997A48" w:rsidRDefault="00997A48" w:rsidP="00997A48">
            <w:pPr>
              <w:pStyle w:val="NoSpacing"/>
              <w:tabs>
                <w:tab w:val="left" w:pos="1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Molecular Weight Heparins – Enoxaparin</w:t>
            </w:r>
            <w:r w:rsidRPr="003A1882">
              <w:rPr>
                <w:sz w:val="20"/>
                <w:szCs w:val="20"/>
              </w:rPr>
              <w:t>(Clexane®, Inhixa®),</w:t>
            </w:r>
            <w:r>
              <w:t xml:space="preserve"> Tinzaparin </w:t>
            </w:r>
            <w:r w:rsidRPr="003A1882">
              <w:rPr>
                <w:sz w:val="20"/>
                <w:szCs w:val="20"/>
              </w:rPr>
              <w:t xml:space="preserve">(Innohep®), Dalteparin (Fragmin®) </w:t>
            </w:r>
          </w:p>
          <w:p w14:paraId="141DD340" w14:textId="1B6E65B5" w:rsidR="00997A48" w:rsidRPr="002C4BD9" w:rsidRDefault="00997A48" w:rsidP="00997A48">
            <w:pPr>
              <w:pStyle w:val="NoSpacing"/>
              <w:tabs>
                <w:tab w:val="left" w:pos="19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Warfarin </w:t>
            </w:r>
            <w:r w:rsidRPr="003A1882">
              <w:rPr>
                <w:sz w:val="20"/>
                <w:szCs w:val="20"/>
              </w:rPr>
              <w:t xml:space="preserve">(Coumadin®) </w:t>
            </w:r>
          </w:p>
        </w:tc>
      </w:tr>
      <w:tr w:rsidR="00770129" w14:paraId="32F4F2E7" w14:textId="77777777" w:rsidTr="00770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2060320" w14:textId="29593F32" w:rsidR="00770129" w:rsidRDefault="00770129" w:rsidP="00357785">
            <w:pPr>
              <w:pStyle w:val="NoSpacing"/>
              <w:jc w:val="center"/>
              <w:rPr>
                <w:sz w:val="20"/>
                <w:szCs w:val="20"/>
              </w:rPr>
            </w:pPr>
            <w:r>
              <w:t>Parkinson’s medication</w:t>
            </w:r>
          </w:p>
        </w:tc>
        <w:tc>
          <w:tcPr>
            <w:tcW w:w="7626" w:type="dxa"/>
          </w:tcPr>
          <w:p w14:paraId="7D877B48" w14:textId="77777777" w:rsidR="00770129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Co-beneldopa </w:t>
            </w:r>
            <w:r w:rsidRPr="003A1882">
              <w:rPr>
                <w:sz w:val="20"/>
                <w:szCs w:val="20"/>
              </w:rPr>
              <w:t xml:space="preserve">(Madopar®) </w:t>
            </w:r>
          </w:p>
          <w:p w14:paraId="12A06FA5" w14:textId="77777777" w:rsidR="00770129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Co-careldopa </w:t>
            </w:r>
            <w:r w:rsidRPr="003A1882">
              <w:rPr>
                <w:sz w:val="20"/>
                <w:szCs w:val="20"/>
              </w:rPr>
              <w:t xml:space="preserve">(Sinemet®) </w:t>
            </w:r>
          </w:p>
          <w:p w14:paraId="6BB0594E" w14:textId="77777777" w:rsidR="00770129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Co-careldopa plus entacapone </w:t>
            </w:r>
            <w:r w:rsidRPr="003A1882">
              <w:rPr>
                <w:sz w:val="20"/>
                <w:szCs w:val="20"/>
              </w:rPr>
              <w:t xml:space="preserve">(Stalevo®, Sastravi®) </w:t>
            </w:r>
          </w:p>
          <w:p w14:paraId="3FD519F3" w14:textId="77777777" w:rsidR="00770129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Pramipexole </w:t>
            </w:r>
          </w:p>
          <w:p w14:paraId="322B5385" w14:textId="77777777" w:rsidR="00770129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Ropinirole </w:t>
            </w:r>
          </w:p>
          <w:p w14:paraId="1BB2BC77" w14:textId="432FD4DB" w:rsidR="00770129" w:rsidRPr="00997A48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Rotigotine patch </w:t>
            </w:r>
          </w:p>
        </w:tc>
      </w:tr>
      <w:tr w:rsidR="00770129" w14:paraId="444A4068" w14:textId="77777777" w:rsidTr="00770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A736B2F" w14:textId="5F613FDF" w:rsidR="00770129" w:rsidRDefault="00770129" w:rsidP="00357785">
            <w:pPr>
              <w:pStyle w:val="NoSpacing"/>
              <w:jc w:val="center"/>
              <w:rPr>
                <w:sz w:val="20"/>
                <w:szCs w:val="20"/>
              </w:rPr>
            </w:pPr>
            <w:r>
              <w:t>Anti-epileptic</w:t>
            </w:r>
          </w:p>
        </w:tc>
        <w:tc>
          <w:tcPr>
            <w:tcW w:w="7626" w:type="dxa"/>
          </w:tcPr>
          <w:p w14:paraId="099259ED" w14:textId="77777777" w:rsidR="00770129" w:rsidRDefault="003A1882" w:rsidP="003A18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Carbamazepine </w:t>
            </w:r>
            <w:r w:rsidRPr="003A1882">
              <w:rPr>
                <w:sz w:val="20"/>
                <w:szCs w:val="20"/>
              </w:rPr>
              <w:t>(Tegretol®)</w:t>
            </w:r>
          </w:p>
          <w:p w14:paraId="7D1B6E33" w14:textId="77777777" w:rsidR="003A1882" w:rsidRDefault="003A1882" w:rsidP="003A18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Lamotrigine </w:t>
            </w:r>
            <w:r w:rsidRPr="003A1882">
              <w:rPr>
                <w:sz w:val="20"/>
                <w:szCs w:val="20"/>
              </w:rPr>
              <w:t>(Lamictal®)</w:t>
            </w:r>
          </w:p>
          <w:p w14:paraId="52E3A48F" w14:textId="77777777" w:rsidR="003A1882" w:rsidRDefault="003A1882" w:rsidP="003A18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Levetiracetam </w:t>
            </w:r>
            <w:r w:rsidRPr="003A1882">
              <w:rPr>
                <w:sz w:val="20"/>
                <w:szCs w:val="20"/>
              </w:rPr>
              <w:t>(Keppra®)</w:t>
            </w:r>
          </w:p>
          <w:p w14:paraId="267F206D" w14:textId="77777777" w:rsidR="003A1882" w:rsidRDefault="003A1882" w:rsidP="003A18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Phenytoin </w:t>
            </w:r>
            <w:r w:rsidRPr="003A1882">
              <w:rPr>
                <w:sz w:val="20"/>
                <w:szCs w:val="20"/>
              </w:rPr>
              <w:t>(Epanutin®)</w:t>
            </w:r>
          </w:p>
          <w:p w14:paraId="28E3C005" w14:textId="05919559" w:rsidR="003A1882" w:rsidRDefault="003A1882" w:rsidP="003A188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Sodium valproate </w:t>
            </w:r>
            <w:r w:rsidRPr="003A1882">
              <w:rPr>
                <w:sz w:val="20"/>
                <w:szCs w:val="20"/>
              </w:rPr>
              <w:t>(Epilim®)</w:t>
            </w:r>
          </w:p>
        </w:tc>
      </w:tr>
      <w:tr w:rsidR="00770129" w14:paraId="2FAEA78D" w14:textId="77777777" w:rsidTr="00770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F959F49" w14:textId="34CD14B9" w:rsidR="00770129" w:rsidRDefault="00770129" w:rsidP="00357785">
            <w:pPr>
              <w:pStyle w:val="NoSpacing"/>
              <w:jc w:val="center"/>
              <w:rPr>
                <w:sz w:val="20"/>
                <w:szCs w:val="20"/>
              </w:rPr>
            </w:pPr>
            <w:r>
              <w:t>Anti-psychotics and all medication prescribed for long term mental health conditions</w:t>
            </w:r>
          </w:p>
        </w:tc>
        <w:tc>
          <w:tcPr>
            <w:tcW w:w="7626" w:type="dxa"/>
          </w:tcPr>
          <w:p w14:paraId="56F4C71D" w14:textId="77777777" w:rsidR="00770129" w:rsidRPr="003A1882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Clozapine </w:t>
            </w:r>
            <w:r w:rsidRPr="003A1882">
              <w:rPr>
                <w:sz w:val="20"/>
                <w:szCs w:val="20"/>
              </w:rPr>
              <w:t xml:space="preserve">(Clozaril®) </w:t>
            </w:r>
          </w:p>
          <w:p w14:paraId="74ADCB5D" w14:textId="77777777" w:rsidR="00770129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Lithium salts </w:t>
            </w:r>
            <w:r w:rsidRPr="003A1882">
              <w:rPr>
                <w:sz w:val="20"/>
                <w:szCs w:val="20"/>
              </w:rPr>
              <w:t>(Priadel®, Camcolit®, Liskonum®)</w:t>
            </w:r>
          </w:p>
          <w:p w14:paraId="3FF421BC" w14:textId="77777777" w:rsidR="00770129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Olanzapine </w:t>
            </w:r>
            <w:r w:rsidRPr="003A1882">
              <w:rPr>
                <w:sz w:val="20"/>
                <w:szCs w:val="20"/>
              </w:rPr>
              <w:t>(Zyprexa®)</w:t>
            </w:r>
          </w:p>
          <w:p w14:paraId="3D85BE45" w14:textId="77777777" w:rsidR="00770129" w:rsidRPr="003A1882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Quetiapine </w:t>
            </w:r>
            <w:r w:rsidRPr="003A1882">
              <w:rPr>
                <w:sz w:val="20"/>
                <w:szCs w:val="20"/>
              </w:rPr>
              <w:t>(Sorequel®)</w:t>
            </w:r>
          </w:p>
          <w:p w14:paraId="5A0C94A0" w14:textId="5B269B27" w:rsidR="00770129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A1882">
              <w:t xml:space="preserve">Risperidone </w:t>
            </w:r>
            <w:r w:rsidRPr="003A1882">
              <w:rPr>
                <w:sz w:val="20"/>
                <w:szCs w:val="20"/>
              </w:rPr>
              <w:t>(Risperdal®)</w:t>
            </w:r>
          </w:p>
        </w:tc>
      </w:tr>
      <w:tr w:rsidR="00770129" w14:paraId="2DE5559A" w14:textId="77777777" w:rsidTr="00770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A5E9580" w14:textId="141D7A21" w:rsidR="00770129" w:rsidRDefault="00770129" w:rsidP="00357785">
            <w:pPr>
              <w:pStyle w:val="NoSpacing"/>
              <w:jc w:val="center"/>
              <w:rPr>
                <w:sz w:val="20"/>
                <w:szCs w:val="20"/>
              </w:rPr>
            </w:pPr>
            <w:r>
              <w:t>Insulin</w:t>
            </w:r>
          </w:p>
        </w:tc>
        <w:tc>
          <w:tcPr>
            <w:tcW w:w="7626" w:type="dxa"/>
          </w:tcPr>
          <w:p w14:paraId="70D08E80" w14:textId="0BF7CB26" w:rsidR="00770129" w:rsidRDefault="00770129" w:rsidP="00770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Actrapid/Humulin S/Insuman rapid</w:t>
            </w:r>
          </w:p>
          <w:p w14:paraId="3C393404" w14:textId="0C28B11D" w:rsidR="00770129" w:rsidRDefault="00770129" w:rsidP="00770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Humulin </w:t>
            </w:r>
            <w:proofErr w:type="spellStart"/>
            <w:r>
              <w:t>i</w:t>
            </w:r>
            <w:proofErr w:type="spellEnd"/>
            <w:r>
              <w:t>/</w:t>
            </w:r>
            <w:proofErr w:type="spellStart"/>
            <w:r>
              <w:t>Insulatard</w:t>
            </w:r>
            <w:proofErr w:type="spellEnd"/>
            <w:r>
              <w:t>/</w:t>
            </w:r>
            <w:proofErr w:type="spellStart"/>
            <w:r>
              <w:t>Insuman</w:t>
            </w:r>
            <w:proofErr w:type="spellEnd"/>
            <w:r>
              <w:t xml:space="preserve"> basal</w:t>
            </w:r>
          </w:p>
          <w:p w14:paraId="101F6FDE" w14:textId="4DB32984" w:rsidR="00770129" w:rsidRDefault="00770129" w:rsidP="00770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Humulin M3/Insuman comb 15/Insuman comb 25</w:t>
            </w:r>
          </w:p>
          <w:p w14:paraId="3C481E68" w14:textId="77777777" w:rsidR="00770129" w:rsidRDefault="00770129" w:rsidP="00770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Lantus/Levemir/Tresiba/Toujeo/Abasaglar/Detemir</w:t>
            </w:r>
          </w:p>
          <w:p w14:paraId="77B7A521" w14:textId="77777777" w:rsidR="00770129" w:rsidRDefault="00770129" w:rsidP="00770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Novorapid/Humalog/Humalog U200/Apidra/Fiasp </w:t>
            </w:r>
          </w:p>
          <w:p w14:paraId="799A4210" w14:textId="5E262072" w:rsidR="00770129" w:rsidRDefault="00770129" w:rsidP="00770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Novomix 30/Humalog mix 25/Humalog mix 50</w:t>
            </w:r>
          </w:p>
        </w:tc>
      </w:tr>
      <w:tr w:rsidR="00770129" w14:paraId="7787AF7E" w14:textId="77777777" w:rsidTr="00770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211BD1A" w14:textId="770BBFE7" w:rsidR="00770129" w:rsidRDefault="00770129" w:rsidP="00357785">
            <w:pPr>
              <w:pStyle w:val="NoSpacing"/>
              <w:jc w:val="center"/>
              <w:rPr>
                <w:sz w:val="20"/>
                <w:szCs w:val="20"/>
              </w:rPr>
            </w:pPr>
            <w:r>
              <w:t>Immunosuppressant</w:t>
            </w:r>
          </w:p>
        </w:tc>
        <w:tc>
          <w:tcPr>
            <w:tcW w:w="7626" w:type="dxa"/>
          </w:tcPr>
          <w:p w14:paraId="71391CAD" w14:textId="77777777" w:rsidR="00770129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Azathioprine </w:t>
            </w:r>
            <w:r w:rsidRPr="003A1882">
              <w:rPr>
                <w:sz w:val="20"/>
                <w:szCs w:val="20"/>
              </w:rPr>
              <w:t>(Azasan®)</w:t>
            </w:r>
          </w:p>
          <w:p w14:paraId="06A4D00F" w14:textId="77777777" w:rsidR="00770129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Cyclosporin </w:t>
            </w:r>
            <w:r w:rsidRPr="003A1882">
              <w:rPr>
                <w:sz w:val="20"/>
                <w:szCs w:val="20"/>
              </w:rPr>
              <w:t>(Neoral®)</w:t>
            </w:r>
          </w:p>
          <w:p w14:paraId="2F708102" w14:textId="77777777" w:rsidR="00770129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Mycophenolic acid </w:t>
            </w:r>
            <w:r w:rsidRPr="003A1882">
              <w:rPr>
                <w:sz w:val="20"/>
                <w:szCs w:val="20"/>
              </w:rPr>
              <w:t xml:space="preserve">(Ceptava®,Myfortic®) </w:t>
            </w:r>
          </w:p>
          <w:p w14:paraId="6C962C15" w14:textId="77777777" w:rsidR="00770129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Mycophenolate mofetil </w:t>
            </w:r>
            <w:r w:rsidRPr="003A1882">
              <w:rPr>
                <w:sz w:val="20"/>
                <w:szCs w:val="20"/>
              </w:rPr>
              <w:t>(cellcept®, Mycofenax®)</w:t>
            </w:r>
          </w:p>
          <w:p w14:paraId="0D906537" w14:textId="59481E1D" w:rsidR="00770129" w:rsidRDefault="00770129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Tacrolimus </w:t>
            </w:r>
            <w:r w:rsidRPr="003A1882">
              <w:rPr>
                <w:sz w:val="20"/>
                <w:szCs w:val="20"/>
              </w:rPr>
              <w:t>(Prograf®/Advagraf®)</w:t>
            </w:r>
          </w:p>
        </w:tc>
      </w:tr>
      <w:tr w:rsidR="00770129" w14:paraId="430C532B" w14:textId="77777777" w:rsidTr="00770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B645DAD" w14:textId="02042262" w:rsidR="00770129" w:rsidRDefault="00770129" w:rsidP="00357785">
            <w:pPr>
              <w:pStyle w:val="NoSpacing"/>
              <w:jc w:val="center"/>
              <w:rPr>
                <w:sz w:val="20"/>
                <w:szCs w:val="20"/>
              </w:rPr>
            </w:pPr>
            <w:r>
              <w:t>Corticosteroid</w:t>
            </w:r>
          </w:p>
        </w:tc>
        <w:tc>
          <w:tcPr>
            <w:tcW w:w="7626" w:type="dxa"/>
          </w:tcPr>
          <w:p w14:paraId="0EB6B444" w14:textId="524B6FCB" w:rsidR="00770129" w:rsidRPr="003A1882" w:rsidRDefault="00770129" w:rsidP="00770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B udesonide </w:t>
            </w:r>
            <w:r w:rsidRPr="003A1882">
              <w:rPr>
                <w:sz w:val="20"/>
                <w:szCs w:val="20"/>
              </w:rPr>
              <w:t xml:space="preserve">(Budenofalk®, endocort®, pulmicort®) </w:t>
            </w:r>
          </w:p>
          <w:p w14:paraId="086E3FD4" w14:textId="77777777" w:rsidR="00770129" w:rsidRDefault="00770129" w:rsidP="00770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Hydrocortisone </w:t>
            </w:r>
            <w:r w:rsidRPr="003A1882">
              <w:rPr>
                <w:sz w:val="20"/>
                <w:szCs w:val="20"/>
              </w:rPr>
              <w:t>(colifoam®)</w:t>
            </w:r>
          </w:p>
          <w:p w14:paraId="446A74B6" w14:textId="2243CB1B" w:rsidR="00770129" w:rsidRDefault="00770129" w:rsidP="00770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Prednisolone </w:t>
            </w:r>
            <w:r w:rsidRPr="003A1882">
              <w:rPr>
                <w:sz w:val="20"/>
                <w:szCs w:val="20"/>
              </w:rPr>
              <w:t>(Deltasone®)</w:t>
            </w:r>
          </w:p>
        </w:tc>
      </w:tr>
      <w:tr w:rsidR="00770129" w14:paraId="56F4908C" w14:textId="77777777" w:rsidTr="00770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ADF656C" w14:textId="0D72F13A" w:rsidR="00770129" w:rsidRDefault="00770129" w:rsidP="00357785">
            <w:pPr>
              <w:pStyle w:val="NoSpacing"/>
              <w:jc w:val="center"/>
              <w:rPr>
                <w:sz w:val="20"/>
                <w:szCs w:val="20"/>
              </w:rPr>
            </w:pPr>
            <w:r>
              <w:t>Analgesia</w:t>
            </w:r>
            <w:r w:rsidR="00220A7B">
              <w:t>/Strong Opioids</w:t>
            </w:r>
          </w:p>
        </w:tc>
        <w:tc>
          <w:tcPr>
            <w:tcW w:w="7626" w:type="dxa"/>
          </w:tcPr>
          <w:p w14:paraId="7742C10A" w14:textId="30DF8CE9" w:rsidR="00770129" w:rsidRDefault="00220A7B" w:rsidP="0077012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0A7B">
              <w:t>Buprenorphine (</w:t>
            </w:r>
            <w:proofErr w:type="spellStart"/>
            <w:r w:rsidRPr="00220A7B">
              <w:t>Butec</w:t>
            </w:r>
            <w:proofErr w:type="spellEnd"/>
            <w:r w:rsidRPr="00220A7B">
              <w:t>®), Fentanyl, Methadone, Midazolam, Morphine, Oxycodone</w:t>
            </w:r>
          </w:p>
        </w:tc>
      </w:tr>
      <w:tr w:rsidR="00770129" w14:paraId="41408491" w14:textId="77777777" w:rsidTr="007701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F5A24B2" w14:textId="207F4925" w:rsidR="00770129" w:rsidRDefault="00770129" w:rsidP="00357785">
            <w:pPr>
              <w:pStyle w:val="NoSpacing"/>
              <w:jc w:val="center"/>
              <w:rPr>
                <w:sz w:val="20"/>
                <w:szCs w:val="20"/>
              </w:rPr>
            </w:pPr>
            <w:r>
              <w:t>Substance Misuse maintenance treatment</w:t>
            </w:r>
          </w:p>
        </w:tc>
        <w:tc>
          <w:tcPr>
            <w:tcW w:w="7626" w:type="dxa"/>
          </w:tcPr>
          <w:p w14:paraId="29181858" w14:textId="1C6AC09D" w:rsidR="00770129" w:rsidRPr="003A1882" w:rsidRDefault="00770129" w:rsidP="00770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Buprenorphine </w:t>
            </w:r>
            <w:r w:rsidRPr="003A1882">
              <w:rPr>
                <w:sz w:val="20"/>
                <w:szCs w:val="20"/>
              </w:rPr>
              <w:t>(Subutex®)</w:t>
            </w:r>
          </w:p>
          <w:p w14:paraId="466BF5F1" w14:textId="4CDDF2D8" w:rsidR="00770129" w:rsidRDefault="00770129" w:rsidP="00770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Buprenorphine plus naloxone </w:t>
            </w:r>
            <w:r w:rsidRPr="003A1882">
              <w:rPr>
                <w:sz w:val="20"/>
                <w:szCs w:val="20"/>
              </w:rPr>
              <w:t>(Suboxone®)</w:t>
            </w:r>
          </w:p>
          <w:p w14:paraId="436DA265" w14:textId="77777777" w:rsidR="00770129" w:rsidRDefault="00770129" w:rsidP="00770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Dihydrocodeine MR</w:t>
            </w:r>
          </w:p>
          <w:p w14:paraId="403EB8B3" w14:textId="17D5DAE2" w:rsidR="00770129" w:rsidRDefault="00770129" w:rsidP="0077012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Methadone</w:t>
            </w:r>
          </w:p>
        </w:tc>
      </w:tr>
    </w:tbl>
    <w:p w14:paraId="5A588302" w14:textId="77777777" w:rsidR="000F50ED" w:rsidRDefault="000F50ED" w:rsidP="00997A48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Please visit the PACE website for more safety information on a medicine  </w:t>
      </w:r>
    </w:p>
    <w:p w14:paraId="7A1181A3" w14:textId="163A6C46" w:rsidR="00997A48" w:rsidRPr="00997A48" w:rsidRDefault="00DE7188" w:rsidP="00997A48">
      <w:pPr>
        <w:pStyle w:val="NoSpacing"/>
        <w:jc w:val="center"/>
        <w:rPr>
          <w:sz w:val="20"/>
          <w:szCs w:val="20"/>
        </w:rPr>
      </w:pPr>
      <w:hyperlink r:id="rId7" w:history="1">
        <w:r w:rsidR="000F50ED">
          <w:rPr>
            <w:rStyle w:val="Hyperlink"/>
          </w:rPr>
          <w:t>Lincolnshire Prescribing and Clinical Effectiveness (lincolnshire-pacef.nhs.uk)</w:t>
        </w:r>
      </w:hyperlink>
    </w:p>
    <w:sectPr w:rsidR="00997A48" w:rsidRPr="00997A48" w:rsidSect="00997A48">
      <w:headerReference w:type="default" r:id="rId8"/>
      <w:footerReference w:type="default" r:id="rId9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719A7" w14:textId="77777777" w:rsidR="00997A48" w:rsidRDefault="00997A48" w:rsidP="00997A48">
      <w:pPr>
        <w:spacing w:after="0" w:line="240" w:lineRule="auto"/>
      </w:pPr>
      <w:r>
        <w:separator/>
      </w:r>
    </w:p>
  </w:endnote>
  <w:endnote w:type="continuationSeparator" w:id="0">
    <w:p w14:paraId="58FEE283" w14:textId="77777777" w:rsidR="00997A48" w:rsidRDefault="00997A48" w:rsidP="0099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A1EE2" w14:textId="77777777" w:rsidR="000F50ED" w:rsidRDefault="000F50ED">
    <w:pPr>
      <w:pStyle w:val="Footer"/>
    </w:pPr>
    <w:r>
      <w:t xml:space="preserve">Medicines Optimisation LICB </w:t>
    </w:r>
  </w:p>
  <w:p w14:paraId="20639878" w14:textId="39ACD340" w:rsidR="000F50ED" w:rsidRDefault="000F50ED">
    <w:pPr>
      <w:pStyle w:val="Footer"/>
    </w:pPr>
    <w:r>
      <w:t>Approved May 2023 / review May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2F45C" w14:textId="77777777" w:rsidR="00997A48" w:rsidRDefault="00997A48" w:rsidP="00997A48">
      <w:pPr>
        <w:spacing w:after="0" w:line="240" w:lineRule="auto"/>
      </w:pPr>
      <w:r>
        <w:separator/>
      </w:r>
    </w:p>
  </w:footnote>
  <w:footnote w:type="continuationSeparator" w:id="0">
    <w:p w14:paraId="155E1F73" w14:textId="77777777" w:rsidR="00997A48" w:rsidRDefault="00997A48" w:rsidP="0099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782B0" w14:textId="0A49FD55" w:rsidR="003A1882" w:rsidRPr="003A1882" w:rsidRDefault="003A1882" w:rsidP="003A18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8851C9" wp14:editId="0A157D08">
          <wp:simplePos x="0" y="0"/>
          <wp:positionH relativeFrom="column">
            <wp:posOffset>5715000</wp:posOffset>
          </wp:positionH>
          <wp:positionV relativeFrom="paragraph">
            <wp:posOffset>-209550</wp:posOffset>
          </wp:positionV>
          <wp:extent cx="1098550" cy="558800"/>
          <wp:effectExtent l="0" t="0" r="6350" b="0"/>
          <wp:wrapSquare wrapText="bothSides"/>
          <wp:docPr id="1" name="Picture 1" descr="Text,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48"/>
    <w:rsid w:val="000F50ED"/>
    <w:rsid w:val="0012673D"/>
    <w:rsid w:val="00220A7B"/>
    <w:rsid w:val="00242C30"/>
    <w:rsid w:val="002C4BD9"/>
    <w:rsid w:val="00357785"/>
    <w:rsid w:val="003A1882"/>
    <w:rsid w:val="003D0163"/>
    <w:rsid w:val="00540F3E"/>
    <w:rsid w:val="005B12D4"/>
    <w:rsid w:val="005E5590"/>
    <w:rsid w:val="00770129"/>
    <w:rsid w:val="00997A48"/>
    <w:rsid w:val="00AB0611"/>
    <w:rsid w:val="00BF0E52"/>
    <w:rsid w:val="00C5770E"/>
    <w:rsid w:val="00DE7188"/>
    <w:rsid w:val="00E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41590"/>
  <w15:chartTrackingRefBased/>
  <w15:docId w15:val="{2F31D445-43DF-4395-BEB6-3A3134D7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A48"/>
  </w:style>
  <w:style w:type="paragraph" w:styleId="Footer">
    <w:name w:val="footer"/>
    <w:basedOn w:val="Normal"/>
    <w:link w:val="FooterChar"/>
    <w:uiPriority w:val="99"/>
    <w:unhideWhenUsed/>
    <w:rsid w:val="00997A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A48"/>
  </w:style>
  <w:style w:type="paragraph" w:styleId="NoSpacing">
    <w:name w:val="No Spacing"/>
    <w:uiPriority w:val="1"/>
    <w:qFormat/>
    <w:rsid w:val="00997A48"/>
    <w:pPr>
      <w:spacing w:after="0" w:line="240" w:lineRule="auto"/>
    </w:pPr>
  </w:style>
  <w:style w:type="table" w:styleId="TableGrid">
    <w:name w:val="Table Grid"/>
    <w:basedOn w:val="TableNormal"/>
    <w:uiPriority w:val="39"/>
    <w:rsid w:val="00997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77012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0F5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ncolnshire-pacef.nhs.u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F5A94-CE2B-4B40-8890-766CA069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FILE, Cherylyn (NHS LINCOLNSHIRE ICB - 71E)</dc:creator>
  <cp:keywords/>
  <dc:description/>
  <cp:lastModifiedBy>Tracey Thorpe</cp:lastModifiedBy>
  <cp:revision>2</cp:revision>
  <dcterms:created xsi:type="dcterms:W3CDTF">2024-06-28T13:15:00Z</dcterms:created>
  <dcterms:modified xsi:type="dcterms:W3CDTF">2024-06-28T13:15:00Z</dcterms:modified>
</cp:coreProperties>
</file>