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90B8" w14:textId="00EFF35C" w:rsidR="00680C57" w:rsidRDefault="00D219C6" w:rsidP="0027304B">
      <w:r>
        <w:rPr>
          <w:noProof/>
          <w:lang w:eastAsia="en-GB"/>
        </w:rPr>
        <w:drawing>
          <wp:anchor distT="0" distB="0" distL="114300" distR="114300" simplePos="0" relativeHeight="251659264" behindDoc="1" locked="0" layoutInCell="1" allowOverlap="1" wp14:anchorId="1057B6B7" wp14:editId="66E3A830">
            <wp:simplePos x="0" y="0"/>
            <wp:positionH relativeFrom="column">
              <wp:posOffset>3510915</wp:posOffset>
            </wp:positionH>
            <wp:positionV relativeFrom="paragraph">
              <wp:posOffset>-488950</wp:posOffset>
            </wp:positionV>
            <wp:extent cx="2470785" cy="1094740"/>
            <wp:effectExtent l="0" t="0" r="5715" b="0"/>
            <wp:wrapTight wrapText="bothSides">
              <wp:wrapPolygon edited="0">
                <wp:start x="0" y="0"/>
                <wp:lineTo x="0" y="21049"/>
                <wp:lineTo x="21483" y="21049"/>
                <wp:lineTo x="2148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70785" cy="1094740"/>
                    </a:xfrm>
                    <a:prstGeom prst="rect">
                      <a:avLst/>
                    </a:prstGeom>
                  </pic:spPr>
                </pic:pic>
              </a:graphicData>
            </a:graphic>
            <wp14:sizeRelH relativeFrom="page">
              <wp14:pctWidth>0</wp14:pctWidth>
            </wp14:sizeRelH>
            <wp14:sizeRelV relativeFrom="page">
              <wp14:pctHeight>0</wp14:pctHeight>
            </wp14:sizeRelV>
          </wp:anchor>
        </w:drawing>
      </w:r>
      <w:r w:rsidR="00680C57">
        <w:rPr>
          <w:noProof/>
          <w:lang w:eastAsia="en-GB"/>
        </w:rPr>
        <w:drawing>
          <wp:anchor distT="0" distB="0" distL="114300" distR="114300" simplePos="0" relativeHeight="251658240" behindDoc="1" locked="0" layoutInCell="1" allowOverlap="1" wp14:anchorId="6606E7DC" wp14:editId="31F9D2E7">
            <wp:simplePos x="0" y="0"/>
            <wp:positionH relativeFrom="column">
              <wp:posOffset>-267335</wp:posOffset>
            </wp:positionH>
            <wp:positionV relativeFrom="paragraph">
              <wp:posOffset>-601980</wp:posOffset>
            </wp:positionV>
            <wp:extent cx="1795145" cy="1272540"/>
            <wp:effectExtent l="0" t="0" r="0" b="3810"/>
            <wp:wrapTight wrapText="bothSides">
              <wp:wrapPolygon edited="0">
                <wp:start x="0" y="0"/>
                <wp:lineTo x="0" y="21341"/>
                <wp:lineTo x="21317" y="21341"/>
                <wp:lineTo x="21317" y="0"/>
                <wp:lineTo x="0" y="0"/>
              </wp:wrapPolygon>
            </wp:wrapTight>
            <wp:docPr id="1" name="Picture 1" descr="Safer Lincolnshire Partnership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r Lincolnshire Partnership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514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DC06E" w14:textId="77777777" w:rsidR="00680C57" w:rsidRDefault="00680C57" w:rsidP="0027304B"/>
    <w:p w14:paraId="4C3C10C8" w14:textId="77777777" w:rsidR="00257EC6" w:rsidRDefault="00257EC6" w:rsidP="00680C57">
      <w:pPr>
        <w:jc w:val="center"/>
        <w:rPr>
          <w:sz w:val="48"/>
          <w:szCs w:val="28"/>
        </w:rPr>
      </w:pPr>
    </w:p>
    <w:p w14:paraId="375C93CF" w14:textId="77777777" w:rsidR="00257EC6" w:rsidRDefault="00257EC6" w:rsidP="00680C57">
      <w:pPr>
        <w:jc w:val="center"/>
        <w:rPr>
          <w:sz w:val="48"/>
          <w:szCs w:val="28"/>
        </w:rPr>
      </w:pPr>
    </w:p>
    <w:p w14:paraId="759F4D27" w14:textId="77777777" w:rsidR="00257EC6" w:rsidRDefault="00257EC6" w:rsidP="00680C57">
      <w:pPr>
        <w:jc w:val="center"/>
        <w:rPr>
          <w:sz w:val="48"/>
          <w:szCs w:val="28"/>
        </w:rPr>
      </w:pPr>
    </w:p>
    <w:p w14:paraId="7B5FD304" w14:textId="77777777" w:rsidR="00257EC6" w:rsidRPr="00257EC6" w:rsidRDefault="00680C57" w:rsidP="00680C57">
      <w:pPr>
        <w:jc w:val="center"/>
        <w:rPr>
          <w:sz w:val="72"/>
          <w:szCs w:val="28"/>
        </w:rPr>
      </w:pPr>
      <w:r w:rsidRPr="00257EC6">
        <w:rPr>
          <w:sz w:val="72"/>
          <w:szCs w:val="28"/>
        </w:rPr>
        <w:t xml:space="preserve">Domestic Homicide Review </w:t>
      </w:r>
    </w:p>
    <w:p w14:paraId="262F386A" w14:textId="77777777" w:rsidR="00257EC6" w:rsidRPr="00257EC6" w:rsidRDefault="00257EC6" w:rsidP="00680C57">
      <w:pPr>
        <w:jc w:val="center"/>
        <w:rPr>
          <w:sz w:val="72"/>
          <w:szCs w:val="28"/>
        </w:rPr>
      </w:pPr>
      <w:r w:rsidRPr="00257EC6">
        <w:rPr>
          <w:sz w:val="72"/>
          <w:szCs w:val="28"/>
        </w:rPr>
        <w:t xml:space="preserve">[DHR] </w:t>
      </w:r>
      <w:r w:rsidR="00680C57" w:rsidRPr="00257EC6">
        <w:rPr>
          <w:sz w:val="72"/>
          <w:szCs w:val="28"/>
        </w:rPr>
        <w:t>Protocol</w:t>
      </w:r>
    </w:p>
    <w:p w14:paraId="7C940D00" w14:textId="77777777" w:rsidR="00257EC6" w:rsidRDefault="00257EC6">
      <w:pPr>
        <w:rPr>
          <w:sz w:val="28"/>
          <w:szCs w:val="28"/>
        </w:rPr>
      </w:pPr>
      <w:r>
        <w:rPr>
          <w:sz w:val="28"/>
          <w:szCs w:val="28"/>
        </w:rPr>
        <w:br w:type="page"/>
      </w:r>
    </w:p>
    <w:p w14:paraId="56C3B8AD" w14:textId="77777777" w:rsidR="00D1221C" w:rsidRPr="006F2BF2" w:rsidRDefault="00D1221C" w:rsidP="00D1221C">
      <w:pPr>
        <w:rPr>
          <w:rFonts w:ascii="Calibri" w:eastAsia="Calibri" w:hAnsi="Calibri" w:cs="Times New Roman"/>
          <w:b/>
          <w:sz w:val="24"/>
          <w:szCs w:val="24"/>
        </w:rPr>
      </w:pPr>
      <w:r w:rsidRPr="006F2BF2">
        <w:rPr>
          <w:rFonts w:ascii="Calibri" w:eastAsia="Calibri" w:hAnsi="Calibri" w:cs="Times New Roman"/>
          <w:b/>
          <w:sz w:val="24"/>
          <w:szCs w:val="24"/>
        </w:rPr>
        <w:lastRenderedPageBreak/>
        <w:t>Document Control</w:t>
      </w:r>
    </w:p>
    <w:tbl>
      <w:tblPr>
        <w:tblStyle w:val="TableGrid2"/>
        <w:tblW w:w="10490" w:type="dxa"/>
        <w:tblInd w:w="-601" w:type="dxa"/>
        <w:tblLook w:val="04A0" w:firstRow="1" w:lastRow="0" w:firstColumn="1" w:lastColumn="0" w:noHBand="0" w:noVBand="1"/>
      </w:tblPr>
      <w:tblGrid>
        <w:gridCol w:w="3085"/>
        <w:gridCol w:w="7405"/>
      </w:tblGrid>
      <w:tr w:rsidR="00D1221C" w:rsidRPr="006F2BF2" w14:paraId="6F764832" w14:textId="77777777" w:rsidTr="00D1221C">
        <w:tc>
          <w:tcPr>
            <w:tcW w:w="3085" w:type="dxa"/>
            <w:tcBorders>
              <w:top w:val="single" w:sz="4" w:space="0" w:color="auto"/>
              <w:left w:val="single" w:sz="4" w:space="0" w:color="auto"/>
              <w:bottom w:val="single" w:sz="4" w:space="0" w:color="auto"/>
              <w:right w:val="single" w:sz="4" w:space="0" w:color="auto"/>
            </w:tcBorders>
            <w:hideMark/>
          </w:tcPr>
          <w:p w14:paraId="2D90B278" w14:textId="77777777" w:rsidR="00D1221C" w:rsidRPr="006F2BF2" w:rsidRDefault="00D1221C" w:rsidP="00991CD0">
            <w:pPr>
              <w:rPr>
                <w:b/>
                <w:sz w:val="24"/>
                <w:szCs w:val="24"/>
              </w:rPr>
            </w:pPr>
            <w:r w:rsidRPr="006F2BF2">
              <w:rPr>
                <w:b/>
                <w:sz w:val="24"/>
                <w:szCs w:val="24"/>
              </w:rPr>
              <w:t>Reference</w:t>
            </w:r>
          </w:p>
        </w:tc>
        <w:tc>
          <w:tcPr>
            <w:tcW w:w="7405" w:type="dxa"/>
            <w:tcBorders>
              <w:top w:val="single" w:sz="4" w:space="0" w:color="auto"/>
              <w:left w:val="single" w:sz="4" w:space="0" w:color="auto"/>
              <w:bottom w:val="single" w:sz="4" w:space="0" w:color="auto"/>
              <w:right w:val="single" w:sz="4" w:space="0" w:color="auto"/>
            </w:tcBorders>
            <w:hideMark/>
          </w:tcPr>
          <w:p w14:paraId="231B7578" w14:textId="6CB1DF30" w:rsidR="00D1221C" w:rsidRPr="006F2BF2" w:rsidRDefault="00D1221C" w:rsidP="00991CD0">
            <w:pPr>
              <w:rPr>
                <w:sz w:val="24"/>
                <w:szCs w:val="24"/>
              </w:rPr>
            </w:pPr>
            <w:r>
              <w:rPr>
                <w:sz w:val="24"/>
                <w:szCs w:val="24"/>
              </w:rPr>
              <w:t>DHR Protocol V</w:t>
            </w:r>
            <w:r w:rsidR="005C334B">
              <w:rPr>
                <w:sz w:val="24"/>
                <w:szCs w:val="24"/>
              </w:rPr>
              <w:t>4</w:t>
            </w:r>
          </w:p>
        </w:tc>
      </w:tr>
      <w:tr w:rsidR="00D1221C" w:rsidRPr="006F2BF2" w14:paraId="75DD1D3D" w14:textId="77777777" w:rsidTr="00D1221C">
        <w:tc>
          <w:tcPr>
            <w:tcW w:w="3085" w:type="dxa"/>
            <w:tcBorders>
              <w:top w:val="single" w:sz="4" w:space="0" w:color="auto"/>
              <w:left w:val="single" w:sz="4" w:space="0" w:color="auto"/>
              <w:bottom w:val="single" w:sz="4" w:space="0" w:color="auto"/>
              <w:right w:val="single" w:sz="4" w:space="0" w:color="auto"/>
            </w:tcBorders>
            <w:hideMark/>
          </w:tcPr>
          <w:p w14:paraId="27BC8A92" w14:textId="77777777" w:rsidR="00D1221C" w:rsidRPr="006F2BF2" w:rsidRDefault="00D1221C" w:rsidP="00991CD0">
            <w:pPr>
              <w:rPr>
                <w:b/>
                <w:sz w:val="24"/>
                <w:szCs w:val="24"/>
              </w:rPr>
            </w:pPr>
            <w:r w:rsidRPr="006F2BF2">
              <w:rPr>
                <w:b/>
                <w:sz w:val="24"/>
                <w:szCs w:val="24"/>
              </w:rPr>
              <w:t>Date</w:t>
            </w:r>
          </w:p>
        </w:tc>
        <w:tc>
          <w:tcPr>
            <w:tcW w:w="7405" w:type="dxa"/>
            <w:tcBorders>
              <w:top w:val="single" w:sz="4" w:space="0" w:color="auto"/>
              <w:left w:val="single" w:sz="4" w:space="0" w:color="auto"/>
              <w:bottom w:val="single" w:sz="4" w:space="0" w:color="auto"/>
              <w:right w:val="single" w:sz="4" w:space="0" w:color="auto"/>
            </w:tcBorders>
          </w:tcPr>
          <w:p w14:paraId="071CC5CE" w14:textId="076BC681" w:rsidR="00D1221C" w:rsidRPr="006F2BF2" w:rsidRDefault="005C334B" w:rsidP="00991CD0">
            <w:pPr>
              <w:rPr>
                <w:sz w:val="24"/>
                <w:szCs w:val="24"/>
              </w:rPr>
            </w:pPr>
            <w:r>
              <w:rPr>
                <w:sz w:val="24"/>
                <w:szCs w:val="24"/>
              </w:rPr>
              <w:t>August</w:t>
            </w:r>
            <w:r w:rsidR="00D1221C">
              <w:rPr>
                <w:sz w:val="24"/>
                <w:szCs w:val="24"/>
              </w:rPr>
              <w:t xml:space="preserve"> 202</w:t>
            </w:r>
            <w:r w:rsidR="00D63CC3">
              <w:rPr>
                <w:sz w:val="24"/>
                <w:szCs w:val="24"/>
              </w:rPr>
              <w:t>3</w:t>
            </w:r>
          </w:p>
        </w:tc>
      </w:tr>
      <w:tr w:rsidR="00D1221C" w:rsidRPr="006F2BF2" w14:paraId="36E2EB9C" w14:textId="77777777" w:rsidTr="00D1221C">
        <w:tc>
          <w:tcPr>
            <w:tcW w:w="3085" w:type="dxa"/>
            <w:tcBorders>
              <w:top w:val="single" w:sz="4" w:space="0" w:color="auto"/>
              <w:left w:val="single" w:sz="4" w:space="0" w:color="auto"/>
              <w:bottom w:val="single" w:sz="4" w:space="0" w:color="auto"/>
              <w:right w:val="single" w:sz="4" w:space="0" w:color="auto"/>
            </w:tcBorders>
            <w:hideMark/>
          </w:tcPr>
          <w:p w14:paraId="3EB7B036" w14:textId="77777777" w:rsidR="00D1221C" w:rsidRPr="006F2BF2" w:rsidRDefault="00D1221C" w:rsidP="00991CD0">
            <w:pPr>
              <w:rPr>
                <w:b/>
                <w:sz w:val="24"/>
                <w:szCs w:val="24"/>
              </w:rPr>
            </w:pPr>
            <w:r w:rsidRPr="006F2BF2">
              <w:rPr>
                <w:b/>
                <w:sz w:val="24"/>
                <w:szCs w:val="24"/>
              </w:rPr>
              <w:t>Author</w:t>
            </w:r>
          </w:p>
        </w:tc>
        <w:tc>
          <w:tcPr>
            <w:tcW w:w="7405" w:type="dxa"/>
            <w:tcBorders>
              <w:top w:val="single" w:sz="4" w:space="0" w:color="auto"/>
              <w:left w:val="single" w:sz="4" w:space="0" w:color="auto"/>
              <w:bottom w:val="single" w:sz="4" w:space="0" w:color="auto"/>
              <w:right w:val="single" w:sz="4" w:space="0" w:color="auto"/>
            </w:tcBorders>
            <w:hideMark/>
          </w:tcPr>
          <w:p w14:paraId="27EFD59F" w14:textId="71600049" w:rsidR="00D1221C" w:rsidRPr="006F2BF2" w:rsidRDefault="00D1221C" w:rsidP="00D1221C">
            <w:pPr>
              <w:rPr>
                <w:sz w:val="24"/>
                <w:szCs w:val="24"/>
              </w:rPr>
            </w:pPr>
            <w:r>
              <w:rPr>
                <w:sz w:val="24"/>
                <w:szCs w:val="24"/>
              </w:rPr>
              <w:t xml:space="preserve">Domestic Abuse </w:t>
            </w:r>
            <w:r w:rsidR="00355CA2">
              <w:rPr>
                <w:sz w:val="24"/>
                <w:szCs w:val="24"/>
              </w:rPr>
              <w:t>Project Officer</w:t>
            </w:r>
          </w:p>
        </w:tc>
      </w:tr>
      <w:tr w:rsidR="00D1221C" w:rsidRPr="006F2BF2" w14:paraId="08BC85EB" w14:textId="77777777" w:rsidTr="00D1221C">
        <w:tc>
          <w:tcPr>
            <w:tcW w:w="3085" w:type="dxa"/>
            <w:tcBorders>
              <w:top w:val="single" w:sz="4" w:space="0" w:color="auto"/>
              <w:left w:val="single" w:sz="4" w:space="0" w:color="auto"/>
              <w:bottom w:val="single" w:sz="4" w:space="0" w:color="auto"/>
              <w:right w:val="single" w:sz="4" w:space="0" w:color="auto"/>
            </w:tcBorders>
            <w:hideMark/>
          </w:tcPr>
          <w:p w14:paraId="3A759803" w14:textId="77777777" w:rsidR="00D1221C" w:rsidRPr="006F2BF2" w:rsidRDefault="00D1221C" w:rsidP="00991CD0">
            <w:pPr>
              <w:rPr>
                <w:b/>
                <w:sz w:val="24"/>
                <w:szCs w:val="24"/>
              </w:rPr>
            </w:pPr>
            <w:r w:rsidRPr="006F2BF2">
              <w:rPr>
                <w:b/>
                <w:sz w:val="24"/>
                <w:szCs w:val="24"/>
              </w:rPr>
              <w:t>Approved By</w:t>
            </w:r>
          </w:p>
        </w:tc>
        <w:tc>
          <w:tcPr>
            <w:tcW w:w="7405" w:type="dxa"/>
            <w:tcBorders>
              <w:top w:val="single" w:sz="4" w:space="0" w:color="auto"/>
              <w:left w:val="single" w:sz="4" w:space="0" w:color="auto"/>
              <w:bottom w:val="single" w:sz="4" w:space="0" w:color="auto"/>
              <w:right w:val="single" w:sz="4" w:space="0" w:color="auto"/>
            </w:tcBorders>
          </w:tcPr>
          <w:p w14:paraId="4C558AD9" w14:textId="7101D1F2" w:rsidR="00D1221C" w:rsidRPr="006F2BF2" w:rsidRDefault="005638EE" w:rsidP="00991CD0">
            <w:pPr>
              <w:rPr>
                <w:sz w:val="24"/>
                <w:szCs w:val="24"/>
              </w:rPr>
            </w:pPr>
            <w:r>
              <w:rPr>
                <w:sz w:val="24"/>
                <w:szCs w:val="24"/>
              </w:rPr>
              <w:t>DHR Subgroup</w:t>
            </w:r>
          </w:p>
        </w:tc>
      </w:tr>
    </w:tbl>
    <w:p w14:paraId="436A4F1B" w14:textId="77777777" w:rsidR="00D1221C" w:rsidRPr="006F2BF2" w:rsidRDefault="00D1221C" w:rsidP="00D1221C">
      <w:pPr>
        <w:rPr>
          <w:rFonts w:ascii="Calibri" w:eastAsia="Calibri" w:hAnsi="Calibri" w:cs="Times New Roman"/>
        </w:rPr>
      </w:pPr>
    </w:p>
    <w:p w14:paraId="60698444" w14:textId="77777777" w:rsidR="00D1221C" w:rsidRPr="006F2BF2" w:rsidRDefault="00D1221C" w:rsidP="00D1221C">
      <w:pPr>
        <w:rPr>
          <w:rFonts w:ascii="Calibri" w:eastAsia="Calibri" w:hAnsi="Calibri" w:cs="Times New Roman"/>
          <w:b/>
          <w:sz w:val="24"/>
          <w:szCs w:val="24"/>
        </w:rPr>
      </w:pPr>
      <w:r w:rsidRPr="006F2BF2">
        <w:rPr>
          <w:rFonts w:ascii="Calibri" w:eastAsia="Calibri" w:hAnsi="Calibri" w:cs="Times New Roman"/>
          <w:b/>
          <w:sz w:val="24"/>
          <w:szCs w:val="24"/>
        </w:rPr>
        <w:t>Version History</w:t>
      </w:r>
    </w:p>
    <w:tbl>
      <w:tblPr>
        <w:tblStyle w:val="TableGrid2"/>
        <w:tblW w:w="10490" w:type="dxa"/>
        <w:tblInd w:w="-601" w:type="dxa"/>
        <w:tblLook w:val="04A0" w:firstRow="1" w:lastRow="0" w:firstColumn="1" w:lastColumn="0" w:noHBand="0" w:noVBand="1"/>
      </w:tblPr>
      <w:tblGrid>
        <w:gridCol w:w="901"/>
        <w:gridCol w:w="1048"/>
        <w:gridCol w:w="6448"/>
        <w:gridCol w:w="2093"/>
      </w:tblGrid>
      <w:tr w:rsidR="00D1221C" w:rsidRPr="00D1221C" w14:paraId="25651822" w14:textId="77777777" w:rsidTr="00E50D37">
        <w:tc>
          <w:tcPr>
            <w:tcW w:w="709" w:type="dxa"/>
            <w:tcBorders>
              <w:top w:val="single" w:sz="4" w:space="0" w:color="auto"/>
              <w:left w:val="single" w:sz="4" w:space="0" w:color="auto"/>
              <w:bottom w:val="single" w:sz="4" w:space="0" w:color="auto"/>
              <w:right w:val="single" w:sz="4" w:space="0" w:color="auto"/>
            </w:tcBorders>
            <w:hideMark/>
          </w:tcPr>
          <w:p w14:paraId="4B040D27" w14:textId="77777777" w:rsidR="00D1221C" w:rsidRPr="00D1221C" w:rsidRDefault="00D1221C" w:rsidP="00991CD0">
            <w:pPr>
              <w:rPr>
                <w:rFonts w:ascii="Arial" w:hAnsi="Arial" w:cs="Arial"/>
                <w:b/>
              </w:rPr>
            </w:pPr>
            <w:r w:rsidRPr="00D1221C">
              <w:rPr>
                <w:rFonts w:ascii="Arial" w:hAnsi="Arial" w:cs="Arial"/>
                <w:b/>
              </w:rPr>
              <w:t>Date</w:t>
            </w:r>
          </w:p>
        </w:tc>
        <w:tc>
          <w:tcPr>
            <w:tcW w:w="1048" w:type="dxa"/>
            <w:tcBorders>
              <w:top w:val="single" w:sz="4" w:space="0" w:color="auto"/>
              <w:left w:val="single" w:sz="4" w:space="0" w:color="auto"/>
              <w:bottom w:val="single" w:sz="4" w:space="0" w:color="auto"/>
              <w:right w:val="single" w:sz="4" w:space="0" w:color="auto"/>
            </w:tcBorders>
            <w:hideMark/>
          </w:tcPr>
          <w:p w14:paraId="757972F2" w14:textId="77777777" w:rsidR="00D1221C" w:rsidRPr="00D1221C" w:rsidRDefault="00D1221C" w:rsidP="00991CD0">
            <w:pPr>
              <w:rPr>
                <w:rFonts w:ascii="Arial" w:hAnsi="Arial" w:cs="Arial"/>
                <w:b/>
              </w:rPr>
            </w:pPr>
            <w:r w:rsidRPr="00D1221C">
              <w:rPr>
                <w:rFonts w:ascii="Arial" w:hAnsi="Arial" w:cs="Arial"/>
                <w:b/>
              </w:rPr>
              <w:t>Version Number</w:t>
            </w:r>
          </w:p>
        </w:tc>
        <w:tc>
          <w:tcPr>
            <w:tcW w:w="6607" w:type="dxa"/>
            <w:tcBorders>
              <w:top w:val="single" w:sz="4" w:space="0" w:color="auto"/>
              <w:left w:val="single" w:sz="4" w:space="0" w:color="auto"/>
              <w:bottom w:val="single" w:sz="4" w:space="0" w:color="auto"/>
              <w:right w:val="single" w:sz="4" w:space="0" w:color="auto"/>
            </w:tcBorders>
            <w:hideMark/>
          </w:tcPr>
          <w:p w14:paraId="4F3BAFB0" w14:textId="77777777" w:rsidR="00D1221C" w:rsidRPr="00D1221C" w:rsidRDefault="00D1221C" w:rsidP="00991CD0">
            <w:pPr>
              <w:rPr>
                <w:rFonts w:ascii="Arial" w:hAnsi="Arial" w:cs="Arial"/>
                <w:b/>
              </w:rPr>
            </w:pPr>
            <w:r w:rsidRPr="00D1221C">
              <w:rPr>
                <w:rFonts w:ascii="Arial" w:hAnsi="Arial" w:cs="Arial"/>
                <w:b/>
              </w:rPr>
              <w:t>Revision Notes</w:t>
            </w:r>
          </w:p>
        </w:tc>
        <w:tc>
          <w:tcPr>
            <w:tcW w:w="2126" w:type="dxa"/>
            <w:tcBorders>
              <w:top w:val="single" w:sz="4" w:space="0" w:color="auto"/>
              <w:left w:val="single" w:sz="4" w:space="0" w:color="auto"/>
              <w:bottom w:val="single" w:sz="4" w:space="0" w:color="auto"/>
              <w:right w:val="single" w:sz="4" w:space="0" w:color="auto"/>
            </w:tcBorders>
            <w:hideMark/>
          </w:tcPr>
          <w:p w14:paraId="3FCFE3DB" w14:textId="77777777" w:rsidR="00D1221C" w:rsidRPr="00D1221C" w:rsidRDefault="00D1221C" w:rsidP="00991CD0">
            <w:pPr>
              <w:rPr>
                <w:rFonts w:ascii="Arial" w:hAnsi="Arial" w:cs="Arial"/>
                <w:b/>
              </w:rPr>
            </w:pPr>
            <w:r w:rsidRPr="00D1221C">
              <w:rPr>
                <w:rFonts w:ascii="Arial" w:hAnsi="Arial" w:cs="Arial"/>
                <w:b/>
              </w:rPr>
              <w:t>Author</w:t>
            </w:r>
          </w:p>
        </w:tc>
      </w:tr>
      <w:tr w:rsidR="00D1221C" w:rsidRPr="00D1221C" w14:paraId="45EFD22D" w14:textId="77777777" w:rsidTr="00E50D37">
        <w:tc>
          <w:tcPr>
            <w:tcW w:w="709" w:type="dxa"/>
            <w:tcBorders>
              <w:top w:val="single" w:sz="4" w:space="0" w:color="auto"/>
              <w:left w:val="single" w:sz="4" w:space="0" w:color="auto"/>
              <w:bottom w:val="single" w:sz="4" w:space="0" w:color="auto"/>
              <w:right w:val="single" w:sz="4" w:space="0" w:color="auto"/>
            </w:tcBorders>
          </w:tcPr>
          <w:p w14:paraId="325BA672" w14:textId="77777777" w:rsidR="00D1221C" w:rsidRPr="00D1221C" w:rsidRDefault="00D1221C" w:rsidP="00991CD0">
            <w:pPr>
              <w:rPr>
                <w:rFonts w:ascii="Arial" w:hAnsi="Arial" w:cs="Arial"/>
              </w:rPr>
            </w:pPr>
            <w:r w:rsidRPr="00D1221C">
              <w:rPr>
                <w:rFonts w:ascii="Arial" w:hAnsi="Arial" w:cs="Arial"/>
              </w:rPr>
              <w:t>Mar 2021</w:t>
            </w:r>
          </w:p>
        </w:tc>
        <w:tc>
          <w:tcPr>
            <w:tcW w:w="1048" w:type="dxa"/>
            <w:tcBorders>
              <w:top w:val="single" w:sz="4" w:space="0" w:color="auto"/>
              <w:left w:val="single" w:sz="4" w:space="0" w:color="auto"/>
              <w:bottom w:val="single" w:sz="4" w:space="0" w:color="auto"/>
              <w:right w:val="single" w:sz="4" w:space="0" w:color="auto"/>
            </w:tcBorders>
          </w:tcPr>
          <w:p w14:paraId="010D31F1" w14:textId="77777777" w:rsidR="00D1221C" w:rsidRPr="00D1221C" w:rsidRDefault="00D1221C" w:rsidP="00991CD0">
            <w:pPr>
              <w:rPr>
                <w:rFonts w:ascii="Arial" w:hAnsi="Arial" w:cs="Arial"/>
              </w:rPr>
            </w:pPr>
            <w:r w:rsidRPr="00D1221C">
              <w:rPr>
                <w:rFonts w:ascii="Arial" w:hAnsi="Arial" w:cs="Arial"/>
              </w:rPr>
              <w:t>V1</w:t>
            </w:r>
          </w:p>
        </w:tc>
        <w:tc>
          <w:tcPr>
            <w:tcW w:w="6607" w:type="dxa"/>
            <w:tcBorders>
              <w:top w:val="single" w:sz="4" w:space="0" w:color="auto"/>
              <w:left w:val="single" w:sz="4" w:space="0" w:color="auto"/>
              <w:bottom w:val="single" w:sz="4" w:space="0" w:color="auto"/>
              <w:right w:val="single" w:sz="4" w:space="0" w:color="auto"/>
            </w:tcBorders>
          </w:tcPr>
          <w:p w14:paraId="7241ABD0" w14:textId="77777777" w:rsidR="00D1221C" w:rsidRPr="009E20E1" w:rsidRDefault="00D1221C" w:rsidP="009E20E1">
            <w:pPr>
              <w:pStyle w:val="ListParagraph"/>
              <w:numPr>
                <w:ilvl w:val="0"/>
                <w:numId w:val="26"/>
              </w:numPr>
              <w:ind w:left="258" w:hanging="258"/>
              <w:rPr>
                <w:rFonts w:ascii="Arial" w:eastAsia="Times New Roman" w:hAnsi="Arial" w:cs="Arial"/>
                <w:bCs/>
              </w:rPr>
            </w:pPr>
            <w:r w:rsidRPr="009E20E1">
              <w:rPr>
                <w:rFonts w:ascii="Arial" w:eastAsia="Times New Roman" w:hAnsi="Arial" w:cs="Arial"/>
                <w:bCs/>
              </w:rPr>
              <w:t>Total Review, however, key sections to be aware that have been changed or added are:</w:t>
            </w:r>
          </w:p>
          <w:p w14:paraId="5C692C6B" w14:textId="77777777" w:rsidR="00D1221C" w:rsidRPr="00D1221C" w:rsidRDefault="00D1221C" w:rsidP="00D1221C">
            <w:pPr>
              <w:rPr>
                <w:rFonts w:ascii="Arial" w:eastAsia="Times New Roman" w:hAnsi="Arial" w:cs="Arial"/>
                <w:bCs/>
              </w:rPr>
            </w:pPr>
            <w:r w:rsidRPr="00D1221C">
              <w:rPr>
                <w:rFonts w:ascii="Arial" w:eastAsia="Times New Roman" w:hAnsi="Arial" w:cs="Arial"/>
                <w:bCs/>
              </w:rPr>
              <w:t>8. Cross Border and Out of County DHRs</w:t>
            </w:r>
          </w:p>
          <w:p w14:paraId="49D9F2CA" w14:textId="77777777" w:rsidR="00D1221C" w:rsidRPr="00D1221C" w:rsidRDefault="00D1221C" w:rsidP="00D1221C">
            <w:pPr>
              <w:rPr>
                <w:rFonts w:ascii="Arial" w:eastAsia="Times New Roman" w:hAnsi="Arial" w:cs="Arial"/>
                <w:bCs/>
              </w:rPr>
            </w:pPr>
            <w:r w:rsidRPr="00D1221C">
              <w:rPr>
                <w:rFonts w:ascii="Arial" w:eastAsia="Times New Roman" w:hAnsi="Arial" w:cs="Arial"/>
                <w:bCs/>
              </w:rPr>
              <w:t>15. Document Retention</w:t>
            </w:r>
          </w:p>
          <w:p w14:paraId="49441B21" w14:textId="77777777" w:rsidR="00D1221C" w:rsidRPr="00D1221C" w:rsidRDefault="00D1221C" w:rsidP="00D1221C">
            <w:pPr>
              <w:rPr>
                <w:rFonts w:ascii="Arial" w:eastAsia="Times New Roman" w:hAnsi="Arial" w:cs="Arial"/>
                <w:bCs/>
              </w:rPr>
            </w:pPr>
            <w:r w:rsidRPr="00D1221C">
              <w:rPr>
                <w:rFonts w:ascii="Arial" w:eastAsia="Times New Roman" w:hAnsi="Arial" w:cs="Arial"/>
                <w:bCs/>
              </w:rPr>
              <w:t>16. Sample Templates as a hyperlink rather than appendices</w:t>
            </w:r>
          </w:p>
          <w:p w14:paraId="54D1A278" w14:textId="77777777" w:rsidR="00D1221C" w:rsidRPr="00D1221C" w:rsidRDefault="00D1221C" w:rsidP="00991CD0">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779ECFC" w14:textId="77777777" w:rsidR="00D1221C" w:rsidRDefault="00D1221C" w:rsidP="00991CD0">
            <w:pPr>
              <w:rPr>
                <w:rFonts w:ascii="Arial" w:hAnsi="Arial" w:cs="Arial"/>
              </w:rPr>
            </w:pPr>
            <w:r w:rsidRPr="00D1221C">
              <w:rPr>
                <w:rFonts w:ascii="Arial" w:hAnsi="Arial" w:cs="Arial"/>
              </w:rPr>
              <w:t>Domestic Abuse Lead</w:t>
            </w:r>
          </w:p>
          <w:p w14:paraId="0952BB80" w14:textId="4B734392" w:rsidR="00355CA2" w:rsidRPr="00D1221C" w:rsidRDefault="00355CA2" w:rsidP="00991CD0">
            <w:pPr>
              <w:rPr>
                <w:rFonts w:ascii="Arial" w:hAnsi="Arial" w:cs="Arial"/>
              </w:rPr>
            </w:pPr>
            <w:r>
              <w:rPr>
                <w:rFonts w:ascii="Arial" w:hAnsi="Arial" w:cs="Arial"/>
              </w:rPr>
              <w:t>Approved by the DA Core Priority Group</w:t>
            </w:r>
          </w:p>
        </w:tc>
      </w:tr>
      <w:tr w:rsidR="00D1221C" w:rsidRPr="00D1221C" w14:paraId="442832F4" w14:textId="77777777" w:rsidTr="00E50D37">
        <w:tc>
          <w:tcPr>
            <w:tcW w:w="709" w:type="dxa"/>
            <w:tcBorders>
              <w:top w:val="single" w:sz="4" w:space="0" w:color="auto"/>
              <w:left w:val="single" w:sz="4" w:space="0" w:color="auto"/>
              <w:bottom w:val="single" w:sz="4" w:space="0" w:color="auto"/>
              <w:right w:val="single" w:sz="4" w:space="0" w:color="auto"/>
            </w:tcBorders>
          </w:tcPr>
          <w:p w14:paraId="1C5ED66D" w14:textId="6AF3EE0C" w:rsidR="00D1221C" w:rsidRPr="00D1221C" w:rsidRDefault="00D01CBE" w:rsidP="00991CD0">
            <w:pPr>
              <w:rPr>
                <w:rFonts w:ascii="Arial" w:hAnsi="Arial" w:cs="Arial"/>
              </w:rPr>
            </w:pPr>
            <w:r>
              <w:rPr>
                <w:rFonts w:ascii="Arial" w:hAnsi="Arial" w:cs="Arial"/>
              </w:rPr>
              <w:t>Mar 2022</w:t>
            </w:r>
          </w:p>
        </w:tc>
        <w:tc>
          <w:tcPr>
            <w:tcW w:w="1048" w:type="dxa"/>
            <w:tcBorders>
              <w:top w:val="single" w:sz="4" w:space="0" w:color="auto"/>
              <w:left w:val="single" w:sz="4" w:space="0" w:color="auto"/>
              <w:bottom w:val="single" w:sz="4" w:space="0" w:color="auto"/>
              <w:right w:val="single" w:sz="4" w:space="0" w:color="auto"/>
            </w:tcBorders>
          </w:tcPr>
          <w:p w14:paraId="7D54D169" w14:textId="4099A794" w:rsidR="00D1221C" w:rsidRPr="00D1221C" w:rsidRDefault="00D01CBE" w:rsidP="00991CD0">
            <w:pPr>
              <w:rPr>
                <w:rFonts w:ascii="Arial" w:hAnsi="Arial" w:cs="Arial"/>
              </w:rPr>
            </w:pPr>
            <w:r>
              <w:rPr>
                <w:rFonts w:ascii="Arial" w:hAnsi="Arial" w:cs="Arial"/>
              </w:rPr>
              <w:t>V2</w:t>
            </w:r>
          </w:p>
        </w:tc>
        <w:tc>
          <w:tcPr>
            <w:tcW w:w="6607" w:type="dxa"/>
            <w:tcBorders>
              <w:top w:val="single" w:sz="4" w:space="0" w:color="auto"/>
              <w:left w:val="single" w:sz="4" w:space="0" w:color="auto"/>
              <w:bottom w:val="single" w:sz="4" w:space="0" w:color="auto"/>
              <w:right w:val="single" w:sz="4" w:space="0" w:color="auto"/>
            </w:tcBorders>
          </w:tcPr>
          <w:p w14:paraId="3F18C6D7" w14:textId="751DA9F0" w:rsidR="00D1221C" w:rsidRPr="009E20E1" w:rsidRDefault="00D01CBE" w:rsidP="009E20E1">
            <w:pPr>
              <w:pStyle w:val="ListParagraph"/>
              <w:numPr>
                <w:ilvl w:val="0"/>
                <w:numId w:val="25"/>
              </w:numPr>
              <w:rPr>
                <w:rFonts w:ascii="Arial" w:hAnsi="Arial" w:cs="Arial"/>
              </w:rPr>
            </w:pPr>
            <w:r w:rsidRPr="009E20E1">
              <w:rPr>
                <w:rFonts w:ascii="Arial" w:hAnsi="Arial" w:cs="Arial"/>
              </w:rPr>
              <w:t xml:space="preserve">Hyperlinks </w:t>
            </w:r>
            <w:r w:rsidR="00D91097" w:rsidRPr="009E20E1">
              <w:rPr>
                <w:rFonts w:ascii="Arial" w:hAnsi="Arial" w:cs="Arial"/>
              </w:rPr>
              <w:t>amended.</w:t>
            </w:r>
          </w:p>
          <w:p w14:paraId="4A6C79F4" w14:textId="77777777" w:rsidR="003B1953" w:rsidRDefault="00AB5FD9" w:rsidP="00991CD0">
            <w:pPr>
              <w:pStyle w:val="ListParagraph"/>
              <w:numPr>
                <w:ilvl w:val="0"/>
                <w:numId w:val="25"/>
              </w:numPr>
              <w:rPr>
                <w:rFonts w:ascii="Arial" w:hAnsi="Arial" w:cs="Arial"/>
              </w:rPr>
            </w:pPr>
            <w:r w:rsidRPr="009E20E1">
              <w:rPr>
                <w:rFonts w:ascii="Arial" w:hAnsi="Arial" w:cs="Arial"/>
              </w:rPr>
              <w:t>References to change in job title from the</w:t>
            </w:r>
            <w:r w:rsidRPr="009E20E1">
              <w:t xml:space="preserve"> </w:t>
            </w:r>
            <w:r w:rsidRPr="009E20E1">
              <w:rPr>
                <w:rFonts w:ascii="Arial" w:hAnsi="Arial" w:cs="Arial"/>
              </w:rPr>
              <w:t xml:space="preserve">Community Safety Strategy Co-ordinator with DA Lead to the Domestic Abuse Business Manager </w:t>
            </w:r>
          </w:p>
          <w:p w14:paraId="39F2A3BA" w14:textId="2D164547" w:rsidR="00355CA2" w:rsidRPr="00355CA2" w:rsidRDefault="00355CA2" w:rsidP="00355CA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0B2EFC9" w14:textId="77777777" w:rsidR="00D1221C" w:rsidRDefault="00D01CBE" w:rsidP="00991CD0">
            <w:pPr>
              <w:rPr>
                <w:rFonts w:ascii="Arial" w:hAnsi="Arial" w:cs="Arial"/>
              </w:rPr>
            </w:pPr>
            <w:r>
              <w:rPr>
                <w:rFonts w:ascii="Arial" w:hAnsi="Arial" w:cs="Arial"/>
              </w:rPr>
              <w:t>Domestic Abuse Project Officer</w:t>
            </w:r>
          </w:p>
          <w:p w14:paraId="2C7FF6B4" w14:textId="3D19FF1A" w:rsidR="003729F6" w:rsidRPr="00D1221C" w:rsidRDefault="00135B05" w:rsidP="00991CD0">
            <w:pPr>
              <w:rPr>
                <w:rFonts w:ascii="Arial" w:hAnsi="Arial" w:cs="Arial"/>
              </w:rPr>
            </w:pPr>
            <w:r>
              <w:rPr>
                <w:rFonts w:ascii="Arial" w:hAnsi="Arial" w:cs="Arial"/>
              </w:rPr>
              <w:t xml:space="preserve">Approved by the </w:t>
            </w:r>
            <w:r>
              <w:rPr>
                <w:sz w:val="24"/>
                <w:szCs w:val="24"/>
              </w:rPr>
              <w:t>DA Business Manager</w:t>
            </w:r>
          </w:p>
        </w:tc>
      </w:tr>
      <w:tr w:rsidR="00135B05" w:rsidRPr="00D1221C" w14:paraId="6D02DF79" w14:textId="77777777" w:rsidTr="00E50D37">
        <w:tc>
          <w:tcPr>
            <w:tcW w:w="709" w:type="dxa"/>
            <w:tcBorders>
              <w:top w:val="single" w:sz="4" w:space="0" w:color="auto"/>
              <w:left w:val="single" w:sz="4" w:space="0" w:color="auto"/>
              <w:bottom w:val="single" w:sz="4" w:space="0" w:color="auto"/>
              <w:right w:val="single" w:sz="4" w:space="0" w:color="auto"/>
            </w:tcBorders>
          </w:tcPr>
          <w:p w14:paraId="55379321" w14:textId="0C32037F" w:rsidR="00135B05" w:rsidRPr="00D1221C" w:rsidRDefault="003A7600" w:rsidP="00135B05">
            <w:pPr>
              <w:rPr>
                <w:rFonts w:ascii="Arial" w:hAnsi="Arial" w:cs="Arial"/>
              </w:rPr>
            </w:pPr>
            <w:r>
              <w:rPr>
                <w:rFonts w:ascii="Arial" w:hAnsi="Arial" w:cs="Arial"/>
              </w:rPr>
              <w:t>Oct</w:t>
            </w:r>
            <w:r w:rsidR="00135B05">
              <w:rPr>
                <w:rFonts w:ascii="Arial" w:hAnsi="Arial" w:cs="Arial"/>
              </w:rPr>
              <w:t xml:space="preserve"> 2022</w:t>
            </w:r>
          </w:p>
        </w:tc>
        <w:tc>
          <w:tcPr>
            <w:tcW w:w="1048" w:type="dxa"/>
            <w:tcBorders>
              <w:top w:val="single" w:sz="4" w:space="0" w:color="auto"/>
              <w:left w:val="single" w:sz="4" w:space="0" w:color="auto"/>
              <w:bottom w:val="single" w:sz="4" w:space="0" w:color="auto"/>
              <w:right w:val="single" w:sz="4" w:space="0" w:color="auto"/>
            </w:tcBorders>
          </w:tcPr>
          <w:p w14:paraId="501446AF" w14:textId="4A4EB537" w:rsidR="00135B05" w:rsidRPr="00D1221C" w:rsidRDefault="00135B05" w:rsidP="00135B05">
            <w:pPr>
              <w:rPr>
                <w:rFonts w:ascii="Arial" w:hAnsi="Arial" w:cs="Arial"/>
              </w:rPr>
            </w:pPr>
            <w:r>
              <w:rPr>
                <w:rFonts w:ascii="Arial" w:hAnsi="Arial" w:cs="Arial"/>
              </w:rPr>
              <w:t>V3</w:t>
            </w:r>
            <w:r w:rsidR="00992A9F">
              <w:rPr>
                <w:rFonts w:ascii="Arial" w:hAnsi="Arial" w:cs="Arial"/>
              </w:rPr>
              <w:t>.</w:t>
            </w:r>
            <w:r w:rsidR="003A7600">
              <w:rPr>
                <w:rFonts w:ascii="Arial" w:hAnsi="Arial" w:cs="Arial"/>
              </w:rPr>
              <w:t>1</w:t>
            </w:r>
          </w:p>
        </w:tc>
        <w:tc>
          <w:tcPr>
            <w:tcW w:w="6607" w:type="dxa"/>
            <w:tcBorders>
              <w:top w:val="single" w:sz="4" w:space="0" w:color="auto"/>
              <w:left w:val="single" w:sz="4" w:space="0" w:color="auto"/>
              <w:bottom w:val="single" w:sz="4" w:space="0" w:color="auto"/>
              <w:right w:val="single" w:sz="4" w:space="0" w:color="auto"/>
            </w:tcBorders>
          </w:tcPr>
          <w:p w14:paraId="33505F89" w14:textId="77777777" w:rsidR="00297C7D" w:rsidRPr="00297C7D" w:rsidRDefault="00297C7D" w:rsidP="00297C7D">
            <w:pPr>
              <w:pStyle w:val="ListParagraph"/>
              <w:numPr>
                <w:ilvl w:val="0"/>
                <w:numId w:val="29"/>
              </w:numPr>
              <w:rPr>
                <w:rFonts w:ascii="Arial" w:hAnsi="Arial" w:cs="Arial"/>
              </w:rPr>
            </w:pPr>
            <w:r w:rsidRPr="00297C7D">
              <w:rPr>
                <w:rFonts w:ascii="Arial" w:hAnsi="Arial" w:cs="Arial"/>
              </w:rPr>
              <w:t>Reference to the new Lincolnshire DA Partnership throughout the protocol.</w:t>
            </w:r>
          </w:p>
          <w:p w14:paraId="7A9978B2" w14:textId="77777777" w:rsidR="00297C7D" w:rsidRDefault="00135B05" w:rsidP="00297C7D">
            <w:pPr>
              <w:rPr>
                <w:rFonts w:ascii="Arial" w:hAnsi="Arial" w:cs="Arial"/>
              </w:rPr>
            </w:pPr>
            <w:r>
              <w:rPr>
                <w:rFonts w:ascii="Arial" w:hAnsi="Arial" w:cs="Arial"/>
              </w:rPr>
              <w:t>8. Addition to Out of County DHRs process</w:t>
            </w:r>
            <w:r w:rsidR="00297C7D">
              <w:rPr>
                <w:rFonts w:ascii="Arial" w:hAnsi="Arial" w:cs="Arial"/>
              </w:rPr>
              <w:t>.</w:t>
            </w:r>
          </w:p>
          <w:p w14:paraId="34E87E6B" w14:textId="6751ACDB" w:rsidR="00503759" w:rsidRPr="00297C7D" w:rsidRDefault="00503759" w:rsidP="00297C7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646965A" w14:textId="302D44B3" w:rsidR="00135B05" w:rsidRPr="00D1221C" w:rsidRDefault="00135B05" w:rsidP="00135B05">
            <w:pPr>
              <w:tabs>
                <w:tab w:val="left" w:pos="1735"/>
              </w:tabs>
              <w:rPr>
                <w:rFonts w:ascii="Arial" w:hAnsi="Arial" w:cs="Arial"/>
              </w:rPr>
            </w:pPr>
            <w:r>
              <w:rPr>
                <w:rFonts w:ascii="Arial" w:hAnsi="Arial" w:cs="Arial"/>
              </w:rPr>
              <w:t>Domestic Abuse Project Officer</w:t>
            </w:r>
            <w:r w:rsidR="00D91097">
              <w:rPr>
                <w:rFonts w:ascii="Arial" w:hAnsi="Arial" w:cs="Arial"/>
              </w:rPr>
              <w:t xml:space="preserve"> Approved by DHR Subgroup</w:t>
            </w:r>
          </w:p>
        </w:tc>
      </w:tr>
      <w:tr w:rsidR="00E50D37" w:rsidRPr="00D1221C" w14:paraId="24F0C98B" w14:textId="77777777" w:rsidTr="00E50D37">
        <w:tc>
          <w:tcPr>
            <w:tcW w:w="709" w:type="dxa"/>
          </w:tcPr>
          <w:p w14:paraId="4A1A98AE" w14:textId="74864A22" w:rsidR="00E50D37" w:rsidRDefault="005C334B" w:rsidP="00991CD0">
            <w:pPr>
              <w:rPr>
                <w:rFonts w:ascii="Arial" w:hAnsi="Arial" w:cs="Arial"/>
              </w:rPr>
            </w:pPr>
            <w:r>
              <w:rPr>
                <w:rFonts w:ascii="Arial" w:hAnsi="Arial" w:cs="Arial"/>
              </w:rPr>
              <w:t>August</w:t>
            </w:r>
          </w:p>
          <w:p w14:paraId="79601DA1" w14:textId="77777777" w:rsidR="00E50D37" w:rsidRDefault="00E50D37" w:rsidP="00991CD0">
            <w:pPr>
              <w:rPr>
                <w:rFonts w:ascii="Arial" w:hAnsi="Arial" w:cs="Arial"/>
              </w:rPr>
            </w:pPr>
            <w:r>
              <w:rPr>
                <w:rFonts w:ascii="Arial" w:hAnsi="Arial" w:cs="Arial"/>
              </w:rPr>
              <w:t>2023</w:t>
            </w:r>
          </w:p>
        </w:tc>
        <w:tc>
          <w:tcPr>
            <w:tcW w:w="1048" w:type="dxa"/>
          </w:tcPr>
          <w:p w14:paraId="775DA232" w14:textId="7A0D8DE0" w:rsidR="00E50D37" w:rsidRDefault="00E50D37" w:rsidP="00991CD0">
            <w:pPr>
              <w:rPr>
                <w:rFonts w:ascii="Arial" w:hAnsi="Arial" w:cs="Arial"/>
              </w:rPr>
            </w:pPr>
            <w:r>
              <w:rPr>
                <w:rFonts w:ascii="Arial" w:hAnsi="Arial" w:cs="Arial"/>
              </w:rPr>
              <w:t>V</w:t>
            </w:r>
            <w:r w:rsidR="005C334B">
              <w:rPr>
                <w:rFonts w:ascii="Arial" w:hAnsi="Arial" w:cs="Arial"/>
              </w:rPr>
              <w:t>4</w:t>
            </w:r>
          </w:p>
        </w:tc>
        <w:tc>
          <w:tcPr>
            <w:tcW w:w="6607" w:type="dxa"/>
          </w:tcPr>
          <w:p w14:paraId="1DF93972" w14:textId="77777777" w:rsidR="001F6490" w:rsidRDefault="0080070F" w:rsidP="00991CD0">
            <w:pPr>
              <w:pStyle w:val="ListParagraph"/>
              <w:numPr>
                <w:ilvl w:val="0"/>
                <w:numId w:val="29"/>
              </w:numPr>
              <w:rPr>
                <w:rFonts w:ascii="Arial" w:hAnsi="Arial" w:cs="Arial"/>
              </w:rPr>
            </w:pPr>
            <w:r>
              <w:rPr>
                <w:rFonts w:ascii="Arial" w:hAnsi="Arial" w:cs="Arial"/>
              </w:rPr>
              <w:t>Review of language throughout</w:t>
            </w:r>
          </w:p>
          <w:p w14:paraId="5D3EF3F1" w14:textId="7EDCC098" w:rsidR="0080070F" w:rsidRDefault="0080070F" w:rsidP="00991CD0">
            <w:pPr>
              <w:pStyle w:val="ListParagraph"/>
              <w:numPr>
                <w:ilvl w:val="0"/>
                <w:numId w:val="29"/>
              </w:numPr>
              <w:rPr>
                <w:rFonts w:ascii="Arial" w:hAnsi="Arial" w:cs="Arial"/>
              </w:rPr>
            </w:pPr>
            <w:r>
              <w:rPr>
                <w:rFonts w:ascii="Arial" w:hAnsi="Arial" w:cs="Arial"/>
              </w:rPr>
              <w:t>Update to hyperlinks</w:t>
            </w:r>
          </w:p>
          <w:p w14:paraId="7C3B31C9" w14:textId="4B3BA0DF" w:rsidR="00E15E78" w:rsidRDefault="00CE64FC" w:rsidP="00991CD0">
            <w:pPr>
              <w:pStyle w:val="ListParagraph"/>
              <w:numPr>
                <w:ilvl w:val="0"/>
                <w:numId w:val="29"/>
              </w:numPr>
              <w:rPr>
                <w:rFonts w:ascii="Arial" w:hAnsi="Arial" w:cs="Arial"/>
              </w:rPr>
            </w:pPr>
            <w:r>
              <w:rPr>
                <w:rFonts w:ascii="Arial" w:hAnsi="Arial" w:cs="Arial"/>
              </w:rPr>
              <w:t xml:space="preserve">5. </w:t>
            </w:r>
            <w:r w:rsidR="00503759">
              <w:rPr>
                <w:rFonts w:ascii="Arial" w:hAnsi="Arial" w:cs="Arial"/>
              </w:rPr>
              <w:t>Protecting Information</w:t>
            </w:r>
            <w:r w:rsidR="00F36201">
              <w:rPr>
                <w:rFonts w:ascii="Arial" w:hAnsi="Arial" w:cs="Arial"/>
              </w:rPr>
              <w:t xml:space="preserve"> </w:t>
            </w:r>
            <w:r w:rsidR="00E34F62">
              <w:rPr>
                <w:rFonts w:ascii="Arial" w:hAnsi="Arial" w:cs="Arial"/>
              </w:rPr>
              <w:t>–</w:t>
            </w:r>
            <w:r w:rsidR="00F36201">
              <w:rPr>
                <w:rFonts w:ascii="Arial" w:hAnsi="Arial" w:cs="Arial"/>
              </w:rPr>
              <w:t xml:space="preserve"> a</w:t>
            </w:r>
            <w:r>
              <w:rPr>
                <w:rFonts w:ascii="Arial" w:hAnsi="Arial" w:cs="Arial"/>
              </w:rPr>
              <w:t>mendments</w:t>
            </w:r>
            <w:r w:rsidR="00E34F62">
              <w:rPr>
                <w:rFonts w:ascii="Arial" w:hAnsi="Arial" w:cs="Arial"/>
              </w:rPr>
              <w:t xml:space="preserve"> and</w:t>
            </w:r>
            <w:r>
              <w:rPr>
                <w:rFonts w:ascii="Arial" w:hAnsi="Arial" w:cs="Arial"/>
              </w:rPr>
              <w:t xml:space="preserve"> renaming</w:t>
            </w:r>
            <w:r w:rsidR="00E34F62">
              <w:rPr>
                <w:rFonts w:ascii="Arial" w:hAnsi="Arial" w:cs="Arial"/>
              </w:rPr>
              <w:t xml:space="preserve"> of</w:t>
            </w:r>
            <w:r>
              <w:rPr>
                <w:rFonts w:ascii="Arial" w:hAnsi="Arial" w:cs="Arial"/>
              </w:rPr>
              <w:t xml:space="preserve"> the section</w:t>
            </w:r>
          </w:p>
          <w:p w14:paraId="4E8DA55B" w14:textId="77777777" w:rsidR="00CB5257" w:rsidRDefault="00562427" w:rsidP="00CB5257">
            <w:pPr>
              <w:pStyle w:val="ListParagraph"/>
              <w:numPr>
                <w:ilvl w:val="0"/>
                <w:numId w:val="29"/>
              </w:numPr>
              <w:rPr>
                <w:rFonts w:ascii="Arial" w:hAnsi="Arial" w:cs="Arial"/>
              </w:rPr>
            </w:pPr>
            <w:r>
              <w:rPr>
                <w:rFonts w:ascii="Arial" w:hAnsi="Arial" w:cs="Arial"/>
              </w:rPr>
              <w:t>6.4 Addition of Confidentiality Undertaking</w:t>
            </w:r>
            <w:r w:rsidR="00CB5257">
              <w:rPr>
                <w:rFonts w:ascii="Arial" w:hAnsi="Arial" w:cs="Arial"/>
              </w:rPr>
              <w:t xml:space="preserve"> </w:t>
            </w:r>
          </w:p>
          <w:p w14:paraId="0D6251A8" w14:textId="5BB26365" w:rsidR="0080070F" w:rsidRDefault="00A40DEF" w:rsidP="00991CD0">
            <w:pPr>
              <w:pStyle w:val="ListParagraph"/>
              <w:numPr>
                <w:ilvl w:val="0"/>
                <w:numId w:val="29"/>
              </w:numPr>
              <w:rPr>
                <w:rFonts w:ascii="Arial" w:hAnsi="Arial" w:cs="Arial"/>
              </w:rPr>
            </w:pPr>
            <w:r>
              <w:rPr>
                <w:rFonts w:ascii="Arial" w:hAnsi="Arial" w:cs="Arial"/>
              </w:rPr>
              <w:t xml:space="preserve">9. Cross Border </w:t>
            </w:r>
            <w:r w:rsidR="00FE29A2">
              <w:rPr>
                <w:rFonts w:ascii="Arial" w:hAnsi="Arial" w:cs="Arial"/>
              </w:rPr>
              <w:t>and Out of County DHRs</w:t>
            </w:r>
            <w:r w:rsidR="00F36201">
              <w:rPr>
                <w:rFonts w:ascii="Arial" w:hAnsi="Arial" w:cs="Arial"/>
              </w:rPr>
              <w:t xml:space="preserve"> - amendments</w:t>
            </w:r>
          </w:p>
          <w:p w14:paraId="3683758E" w14:textId="67964B09" w:rsidR="00FE29A2" w:rsidRDefault="00E1416E" w:rsidP="00991CD0">
            <w:pPr>
              <w:pStyle w:val="ListParagraph"/>
              <w:numPr>
                <w:ilvl w:val="0"/>
                <w:numId w:val="29"/>
              </w:numPr>
              <w:rPr>
                <w:rFonts w:ascii="Arial" w:hAnsi="Arial" w:cs="Arial"/>
              </w:rPr>
            </w:pPr>
            <w:r>
              <w:rPr>
                <w:rFonts w:ascii="Arial" w:hAnsi="Arial" w:cs="Arial"/>
              </w:rPr>
              <w:t>11. Scoping, Chronologies and IMRs</w:t>
            </w:r>
            <w:r w:rsidR="00E34F62">
              <w:rPr>
                <w:rFonts w:ascii="Arial" w:hAnsi="Arial" w:cs="Arial"/>
              </w:rPr>
              <w:t xml:space="preserve"> - amendments</w:t>
            </w:r>
          </w:p>
          <w:p w14:paraId="366BB472" w14:textId="45B629BB" w:rsidR="00736CBA" w:rsidRDefault="00736CBA" w:rsidP="00991CD0">
            <w:pPr>
              <w:pStyle w:val="ListParagraph"/>
              <w:numPr>
                <w:ilvl w:val="0"/>
                <w:numId w:val="29"/>
              </w:numPr>
              <w:rPr>
                <w:rFonts w:ascii="Arial" w:hAnsi="Arial" w:cs="Arial"/>
              </w:rPr>
            </w:pPr>
            <w:r>
              <w:rPr>
                <w:rFonts w:ascii="Arial" w:hAnsi="Arial" w:cs="Arial"/>
              </w:rPr>
              <w:t xml:space="preserve">12. Disclosure &amp; </w:t>
            </w:r>
            <w:r w:rsidR="00FE40CF">
              <w:rPr>
                <w:rFonts w:ascii="Arial" w:hAnsi="Arial" w:cs="Arial"/>
              </w:rPr>
              <w:t>Criminal Proceedings</w:t>
            </w:r>
            <w:r w:rsidR="00E34F62">
              <w:rPr>
                <w:rFonts w:ascii="Arial" w:hAnsi="Arial" w:cs="Arial"/>
              </w:rPr>
              <w:t xml:space="preserve"> - amendments</w:t>
            </w:r>
          </w:p>
          <w:p w14:paraId="402479F1" w14:textId="4F2EC507" w:rsidR="00503759" w:rsidRDefault="008473FB" w:rsidP="005F3586">
            <w:pPr>
              <w:pStyle w:val="ListParagraph"/>
              <w:numPr>
                <w:ilvl w:val="0"/>
                <w:numId w:val="29"/>
              </w:numPr>
              <w:rPr>
                <w:rFonts w:ascii="Arial" w:hAnsi="Arial" w:cs="Arial"/>
              </w:rPr>
            </w:pPr>
            <w:r>
              <w:rPr>
                <w:rFonts w:ascii="Arial" w:hAnsi="Arial" w:cs="Arial"/>
              </w:rPr>
              <w:t>1</w:t>
            </w:r>
            <w:r w:rsidR="00736CBA">
              <w:rPr>
                <w:rFonts w:ascii="Arial" w:hAnsi="Arial" w:cs="Arial"/>
              </w:rPr>
              <w:t>6</w:t>
            </w:r>
            <w:r>
              <w:rPr>
                <w:rFonts w:ascii="Arial" w:hAnsi="Arial" w:cs="Arial"/>
              </w:rPr>
              <w:t>. Sample Templates</w:t>
            </w:r>
            <w:r w:rsidR="00E34F62">
              <w:rPr>
                <w:rFonts w:ascii="Arial" w:hAnsi="Arial" w:cs="Arial"/>
              </w:rPr>
              <w:t xml:space="preserve"> </w:t>
            </w:r>
            <w:r w:rsidR="005F3586">
              <w:rPr>
                <w:rFonts w:ascii="Arial" w:hAnsi="Arial" w:cs="Arial"/>
              </w:rPr>
              <w:t>–</w:t>
            </w:r>
            <w:r w:rsidR="00E34F62">
              <w:rPr>
                <w:rFonts w:ascii="Arial" w:hAnsi="Arial" w:cs="Arial"/>
              </w:rPr>
              <w:t xml:space="preserve"> amendments</w:t>
            </w:r>
          </w:p>
          <w:p w14:paraId="5E2449FB" w14:textId="140CE219" w:rsidR="005F3586" w:rsidRPr="00297C7D" w:rsidRDefault="005F3586" w:rsidP="005F3586">
            <w:pPr>
              <w:pStyle w:val="ListParagraph"/>
              <w:ind w:left="360"/>
              <w:rPr>
                <w:rFonts w:ascii="Arial" w:hAnsi="Arial" w:cs="Arial"/>
              </w:rPr>
            </w:pPr>
          </w:p>
        </w:tc>
        <w:tc>
          <w:tcPr>
            <w:tcW w:w="2126" w:type="dxa"/>
          </w:tcPr>
          <w:p w14:paraId="3136F8BA" w14:textId="315DB079" w:rsidR="00E50D37" w:rsidRDefault="006152BB" w:rsidP="00991CD0">
            <w:pPr>
              <w:tabs>
                <w:tab w:val="left" w:pos="1735"/>
              </w:tabs>
              <w:rPr>
                <w:rFonts w:ascii="Arial" w:hAnsi="Arial" w:cs="Arial"/>
              </w:rPr>
            </w:pPr>
            <w:r>
              <w:rPr>
                <w:rFonts w:ascii="Arial" w:hAnsi="Arial" w:cs="Arial"/>
              </w:rPr>
              <w:t>Domestic Abuse Project Officer</w:t>
            </w:r>
          </w:p>
        </w:tc>
      </w:tr>
    </w:tbl>
    <w:p w14:paraId="1D00067A" w14:textId="77777777" w:rsidR="00D1221C" w:rsidRDefault="00D1221C" w:rsidP="00DA62F7">
      <w:pPr>
        <w:rPr>
          <w:sz w:val="28"/>
          <w:szCs w:val="28"/>
        </w:rPr>
      </w:pPr>
    </w:p>
    <w:p w14:paraId="250529A6" w14:textId="77777777" w:rsidR="004D09E4" w:rsidRDefault="004D09E4">
      <w:pPr>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115"/>
        <w:gridCol w:w="1188"/>
      </w:tblGrid>
      <w:tr w:rsidR="00AA4417" w:rsidRPr="00B90BBF" w14:paraId="05652645" w14:textId="77777777" w:rsidTr="001541CD">
        <w:tc>
          <w:tcPr>
            <w:tcW w:w="9009" w:type="dxa"/>
            <w:gridSpan w:val="3"/>
            <w:shd w:val="clear" w:color="auto" w:fill="auto"/>
          </w:tcPr>
          <w:p w14:paraId="521B890A" w14:textId="77777777" w:rsidR="00AA4417" w:rsidRPr="00B90BBF" w:rsidRDefault="00AA4417" w:rsidP="00991CD0">
            <w:pPr>
              <w:jc w:val="both"/>
              <w:rPr>
                <w:rFonts w:ascii="Arial" w:hAnsi="Arial" w:cs="Arial"/>
                <w:bCs/>
              </w:rPr>
            </w:pPr>
            <w:r w:rsidRPr="00B90BBF">
              <w:rPr>
                <w:rFonts w:ascii="Arial" w:hAnsi="Arial" w:cs="Arial"/>
                <w:b/>
                <w:bCs/>
              </w:rPr>
              <w:lastRenderedPageBreak/>
              <w:t xml:space="preserve">CONTENTS                                                                                                       </w:t>
            </w:r>
            <w:r>
              <w:rPr>
                <w:rFonts w:ascii="Arial" w:hAnsi="Arial" w:cs="Arial"/>
                <w:b/>
                <w:bCs/>
              </w:rPr>
              <w:t xml:space="preserve">  </w:t>
            </w:r>
            <w:r w:rsidRPr="00B90BBF">
              <w:rPr>
                <w:rFonts w:ascii="Arial" w:hAnsi="Arial" w:cs="Arial"/>
                <w:b/>
                <w:bCs/>
              </w:rPr>
              <w:t xml:space="preserve"> </w:t>
            </w:r>
            <w:r w:rsidRPr="00B90BBF">
              <w:rPr>
                <w:rFonts w:ascii="Arial" w:hAnsi="Arial" w:cs="Arial"/>
                <w:bCs/>
              </w:rPr>
              <w:t xml:space="preserve"> </w:t>
            </w:r>
            <w:r w:rsidRPr="004D09E4">
              <w:rPr>
                <w:rFonts w:ascii="Arial" w:hAnsi="Arial" w:cs="Arial"/>
                <w:b/>
                <w:bCs/>
              </w:rPr>
              <w:t>Page N</w:t>
            </w:r>
            <w:r w:rsidRPr="004D09E4">
              <w:rPr>
                <w:rFonts w:ascii="Arial" w:hAnsi="Arial" w:cs="Arial"/>
                <w:b/>
                <w:bCs/>
                <w:vertAlign w:val="superscript"/>
              </w:rPr>
              <w:t>o</w:t>
            </w:r>
            <w:r w:rsidRPr="004D09E4">
              <w:rPr>
                <w:rFonts w:ascii="Arial" w:hAnsi="Arial" w:cs="Arial"/>
                <w:b/>
                <w:bCs/>
              </w:rPr>
              <w:t>.</w:t>
            </w:r>
          </w:p>
        </w:tc>
      </w:tr>
      <w:tr w:rsidR="00AA4417" w:rsidRPr="00443571" w14:paraId="4C1C5CDC" w14:textId="77777777" w:rsidTr="001541CD">
        <w:tc>
          <w:tcPr>
            <w:tcW w:w="706" w:type="dxa"/>
            <w:shd w:val="clear" w:color="auto" w:fill="auto"/>
          </w:tcPr>
          <w:p w14:paraId="1479CC2F" w14:textId="77777777" w:rsidR="00AA4417" w:rsidRPr="00B71A17" w:rsidRDefault="00AA4417" w:rsidP="00991CD0">
            <w:pPr>
              <w:jc w:val="both"/>
              <w:rPr>
                <w:rFonts w:ascii="Arial" w:hAnsi="Arial" w:cs="Arial"/>
                <w:b/>
                <w:bCs/>
              </w:rPr>
            </w:pPr>
            <w:r w:rsidRPr="00B71A17">
              <w:rPr>
                <w:rFonts w:ascii="Arial" w:hAnsi="Arial" w:cs="Arial"/>
                <w:b/>
                <w:bCs/>
              </w:rPr>
              <w:t>1</w:t>
            </w:r>
          </w:p>
        </w:tc>
        <w:tc>
          <w:tcPr>
            <w:tcW w:w="7115" w:type="dxa"/>
            <w:shd w:val="clear" w:color="auto" w:fill="auto"/>
          </w:tcPr>
          <w:p w14:paraId="1F9AD382" w14:textId="77777777" w:rsidR="00AA4417" w:rsidRPr="004D09E4" w:rsidRDefault="00000000" w:rsidP="00991CD0">
            <w:pPr>
              <w:jc w:val="both"/>
              <w:rPr>
                <w:rFonts w:ascii="Arial" w:hAnsi="Arial" w:cs="Arial"/>
                <w:bCs/>
              </w:rPr>
            </w:pPr>
            <w:hyperlink w:anchor="Introduction" w:history="1">
              <w:r w:rsidR="00AA4417" w:rsidRPr="00DD1FDE">
                <w:rPr>
                  <w:rStyle w:val="Hyperlink"/>
                  <w:rFonts w:ascii="Arial" w:hAnsi="Arial" w:cs="Arial"/>
                  <w:bCs/>
                </w:rPr>
                <w:t>Introduction</w:t>
              </w:r>
            </w:hyperlink>
          </w:p>
        </w:tc>
        <w:tc>
          <w:tcPr>
            <w:tcW w:w="1188" w:type="dxa"/>
            <w:shd w:val="clear" w:color="auto" w:fill="auto"/>
          </w:tcPr>
          <w:p w14:paraId="11B0F10E" w14:textId="77777777" w:rsidR="00AA4417" w:rsidRPr="00443571" w:rsidRDefault="00B1200A" w:rsidP="00991CD0">
            <w:pPr>
              <w:jc w:val="center"/>
              <w:rPr>
                <w:rFonts w:ascii="Arial" w:hAnsi="Arial" w:cs="Arial"/>
                <w:b/>
                <w:bCs/>
              </w:rPr>
            </w:pPr>
            <w:r>
              <w:rPr>
                <w:rFonts w:ascii="Arial" w:hAnsi="Arial" w:cs="Arial"/>
                <w:b/>
                <w:bCs/>
              </w:rPr>
              <w:t>4</w:t>
            </w:r>
          </w:p>
        </w:tc>
      </w:tr>
      <w:tr w:rsidR="00AA4417" w:rsidRPr="00443571" w14:paraId="492A415E" w14:textId="77777777" w:rsidTr="001541CD">
        <w:tc>
          <w:tcPr>
            <w:tcW w:w="706" w:type="dxa"/>
            <w:shd w:val="clear" w:color="auto" w:fill="auto"/>
          </w:tcPr>
          <w:p w14:paraId="7723354A" w14:textId="77777777" w:rsidR="00AA4417" w:rsidRPr="00B71A17" w:rsidRDefault="00AA4417" w:rsidP="00991CD0">
            <w:pPr>
              <w:jc w:val="both"/>
              <w:rPr>
                <w:rFonts w:ascii="Arial" w:hAnsi="Arial" w:cs="Arial"/>
                <w:b/>
                <w:bCs/>
              </w:rPr>
            </w:pPr>
            <w:r w:rsidRPr="00B71A17">
              <w:rPr>
                <w:rFonts w:ascii="Arial" w:hAnsi="Arial" w:cs="Arial"/>
                <w:b/>
                <w:bCs/>
              </w:rPr>
              <w:t>2</w:t>
            </w:r>
          </w:p>
        </w:tc>
        <w:tc>
          <w:tcPr>
            <w:tcW w:w="7115" w:type="dxa"/>
            <w:shd w:val="clear" w:color="auto" w:fill="auto"/>
          </w:tcPr>
          <w:p w14:paraId="1CC06221" w14:textId="77777777" w:rsidR="00AA4417" w:rsidRPr="004D09E4" w:rsidRDefault="00000000" w:rsidP="00991CD0">
            <w:pPr>
              <w:jc w:val="both"/>
              <w:rPr>
                <w:rFonts w:ascii="Arial" w:hAnsi="Arial" w:cs="Arial"/>
                <w:bCs/>
              </w:rPr>
            </w:pPr>
            <w:hyperlink w:anchor="ThePurposeOfADHR" w:history="1">
              <w:r w:rsidR="00AA4417" w:rsidRPr="00DD1FDE">
                <w:rPr>
                  <w:rStyle w:val="Hyperlink"/>
                  <w:rFonts w:ascii="Arial" w:hAnsi="Arial" w:cs="Arial"/>
                  <w:bCs/>
                </w:rPr>
                <w:t>Purpose of a DHR</w:t>
              </w:r>
            </w:hyperlink>
          </w:p>
        </w:tc>
        <w:tc>
          <w:tcPr>
            <w:tcW w:w="1188" w:type="dxa"/>
            <w:shd w:val="clear" w:color="auto" w:fill="auto"/>
          </w:tcPr>
          <w:p w14:paraId="1B814469" w14:textId="77777777" w:rsidR="00AA4417" w:rsidRPr="00443571" w:rsidRDefault="00B1200A" w:rsidP="00991CD0">
            <w:pPr>
              <w:jc w:val="center"/>
              <w:rPr>
                <w:rFonts w:ascii="Arial" w:hAnsi="Arial" w:cs="Arial"/>
                <w:b/>
                <w:bCs/>
              </w:rPr>
            </w:pPr>
            <w:r>
              <w:rPr>
                <w:rFonts w:ascii="Arial" w:hAnsi="Arial" w:cs="Arial"/>
                <w:b/>
                <w:bCs/>
              </w:rPr>
              <w:t>5</w:t>
            </w:r>
          </w:p>
        </w:tc>
      </w:tr>
      <w:tr w:rsidR="00AA4417" w:rsidRPr="00443571" w14:paraId="42E419BD" w14:textId="77777777" w:rsidTr="001541CD">
        <w:tc>
          <w:tcPr>
            <w:tcW w:w="706" w:type="dxa"/>
            <w:shd w:val="clear" w:color="auto" w:fill="auto"/>
          </w:tcPr>
          <w:p w14:paraId="751A8917" w14:textId="77777777" w:rsidR="00AA4417" w:rsidRPr="00B71A17" w:rsidRDefault="00AA4417" w:rsidP="00991CD0">
            <w:pPr>
              <w:jc w:val="both"/>
              <w:rPr>
                <w:rFonts w:ascii="Arial" w:hAnsi="Arial" w:cs="Arial"/>
                <w:b/>
                <w:bCs/>
              </w:rPr>
            </w:pPr>
            <w:r w:rsidRPr="00B71A17">
              <w:rPr>
                <w:rFonts w:ascii="Arial" w:hAnsi="Arial" w:cs="Arial"/>
                <w:b/>
                <w:bCs/>
              </w:rPr>
              <w:t>3</w:t>
            </w:r>
          </w:p>
        </w:tc>
        <w:tc>
          <w:tcPr>
            <w:tcW w:w="7115" w:type="dxa"/>
            <w:shd w:val="clear" w:color="auto" w:fill="auto"/>
          </w:tcPr>
          <w:p w14:paraId="160A1E4F" w14:textId="77777777" w:rsidR="00AA4417" w:rsidRPr="004D09E4" w:rsidRDefault="00000000" w:rsidP="00991CD0">
            <w:pPr>
              <w:jc w:val="both"/>
              <w:rPr>
                <w:rFonts w:ascii="Arial" w:hAnsi="Arial" w:cs="Arial"/>
                <w:bCs/>
              </w:rPr>
            </w:pPr>
            <w:hyperlink w:anchor="RolesAndResponsibilites" w:history="1">
              <w:r w:rsidR="00AA4417" w:rsidRPr="00DD1FDE">
                <w:rPr>
                  <w:rStyle w:val="Hyperlink"/>
                  <w:rFonts w:ascii="Arial" w:hAnsi="Arial" w:cs="Arial"/>
                  <w:bCs/>
                </w:rPr>
                <w:t>Roles and Responsibilities</w:t>
              </w:r>
            </w:hyperlink>
          </w:p>
        </w:tc>
        <w:tc>
          <w:tcPr>
            <w:tcW w:w="1188" w:type="dxa"/>
            <w:shd w:val="clear" w:color="auto" w:fill="auto"/>
          </w:tcPr>
          <w:p w14:paraId="1D39865B" w14:textId="77777777" w:rsidR="00AA4417" w:rsidRPr="00443571" w:rsidRDefault="00B1200A" w:rsidP="00991CD0">
            <w:pPr>
              <w:jc w:val="center"/>
              <w:rPr>
                <w:rFonts w:ascii="Arial" w:hAnsi="Arial" w:cs="Arial"/>
                <w:b/>
                <w:bCs/>
              </w:rPr>
            </w:pPr>
            <w:r>
              <w:rPr>
                <w:rFonts w:ascii="Arial" w:hAnsi="Arial" w:cs="Arial"/>
                <w:b/>
                <w:bCs/>
              </w:rPr>
              <w:t>5</w:t>
            </w:r>
          </w:p>
        </w:tc>
      </w:tr>
      <w:tr w:rsidR="00AA4417" w:rsidRPr="00443571" w14:paraId="7BBD36F8" w14:textId="77777777" w:rsidTr="001541CD">
        <w:tc>
          <w:tcPr>
            <w:tcW w:w="706" w:type="dxa"/>
            <w:shd w:val="clear" w:color="auto" w:fill="auto"/>
          </w:tcPr>
          <w:p w14:paraId="43BC48D8" w14:textId="77777777" w:rsidR="00AA4417" w:rsidRPr="00B71A17" w:rsidRDefault="00AA4417" w:rsidP="00991CD0">
            <w:pPr>
              <w:jc w:val="both"/>
              <w:rPr>
                <w:rFonts w:ascii="Arial" w:hAnsi="Arial" w:cs="Arial"/>
                <w:b/>
                <w:bCs/>
              </w:rPr>
            </w:pPr>
            <w:r w:rsidRPr="00B71A17">
              <w:rPr>
                <w:rFonts w:ascii="Arial" w:hAnsi="Arial" w:cs="Arial"/>
                <w:b/>
                <w:bCs/>
              </w:rPr>
              <w:t>4</w:t>
            </w:r>
          </w:p>
        </w:tc>
        <w:tc>
          <w:tcPr>
            <w:tcW w:w="7115" w:type="dxa"/>
            <w:shd w:val="clear" w:color="auto" w:fill="auto"/>
          </w:tcPr>
          <w:p w14:paraId="29435080" w14:textId="77777777" w:rsidR="00AA4417" w:rsidRPr="004D09E4" w:rsidRDefault="00000000" w:rsidP="00991CD0">
            <w:pPr>
              <w:jc w:val="both"/>
              <w:rPr>
                <w:rFonts w:ascii="Arial" w:hAnsi="Arial" w:cs="Arial"/>
                <w:bCs/>
              </w:rPr>
            </w:pPr>
            <w:hyperlink w:anchor="TimescalesForConductingADHR" w:history="1">
              <w:r w:rsidR="00AA4417" w:rsidRPr="00DD1FDE">
                <w:rPr>
                  <w:rStyle w:val="Hyperlink"/>
                  <w:rFonts w:ascii="Arial" w:hAnsi="Arial" w:cs="Arial"/>
                  <w:bCs/>
                </w:rPr>
                <w:t>Timescales for conducting a DHR</w:t>
              </w:r>
            </w:hyperlink>
          </w:p>
        </w:tc>
        <w:tc>
          <w:tcPr>
            <w:tcW w:w="1188" w:type="dxa"/>
            <w:shd w:val="clear" w:color="auto" w:fill="auto"/>
          </w:tcPr>
          <w:p w14:paraId="167403A9" w14:textId="77777777" w:rsidR="00AA4417" w:rsidRPr="00443571" w:rsidRDefault="00B1200A" w:rsidP="00991CD0">
            <w:pPr>
              <w:jc w:val="center"/>
              <w:rPr>
                <w:rFonts w:ascii="Arial" w:hAnsi="Arial" w:cs="Arial"/>
                <w:b/>
                <w:bCs/>
              </w:rPr>
            </w:pPr>
            <w:r>
              <w:rPr>
                <w:rFonts w:ascii="Arial" w:hAnsi="Arial" w:cs="Arial"/>
                <w:b/>
                <w:bCs/>
              </w:rPr>
              <w:t>6</w:t>
            </w:r>
          </w:p>
        </w:tc>
      </w:tr>
      <w:tr w:rsidR="00AA4417" w:rsidRPr="00443571" w14:paraId="6ADEA942" w14:textId="77777777" w:rsidTr="001541CD">
        <w:tc>
          <w:tcPr>
            <w:tcW w:w="706" w:type="dxa"/>
            <w:shd w:val="clear" w:color="auto" w:fill="auto"/>
          </w:tcPr>
          <w:p w14:paraId="24F2BA5D" w14:textId="77777777" w:rsidR="00AA4417" w:rsidRPr="00B71A17" w:rsidRDefault="00AA4417" w:rsidP="00991CD0">
            <w:pPr>
              <w:jc w:val="both"/>
              <w:rPr>
                <w:rFonts w:ascii="Arial" w:hAnsi="Arial" w:cs="Arial"/>
                <w:b/>
                <w:bCs/>
              </w:rPr>
            </w:pPr>
            <w:r w:rsidRPr="00B71A17">
              <w:rPr>
                <w:rFonts w:ascii="Arial" w:hAnsi="Arial" w:cs="Arial"/>
                <w:b/>
                <w:bCs/>
              </w:rPr>
              <w:t>5</w:t>
            </w:r>
          </w:p>
        </w:tc>
        <w:tc>
          <w:tcPr>
            <w:tcW w:w="7115" w:type="dxa"/>
            <w:shd w:val="clear" w:color="auto" w:fill="auto"/>
          </w:tcPr>
          <w:p w14:paraId="0EE4356A" w14:textId="7F0C55E6" w:rsidR="00AA4417" w:rsidRPr="004D09E4" w:rsidRDefault="00000000" w:rsidP="00991CD0">
            <w:pPr>
              <w:jc w:val="both"/>
              <w:rPr>
                <w:rFonts w:ascii="Arial" w:hAnsi="Arial" w:cs="Arial"/>
              </w:rPr>
            </w:pPr>
            <w:hyperlink w:anchor="DataProtection" w:history="1">
              <w:r w:rsidR="007B05A1">
                <w:rPr>
                  <w:rStyle w:val="Hyperlink"/>
                  <w:rFonts w:ascii="Arial" w:hAnsi="Arial" w:cs="Arial"/>
                </w:rPr>
                <w:t>Protecting</w:t>
              </w:r>
            </w:hyperlink>
            <w:r w:rsidR="007B05A1">
              <w:rPr>
                <w:rStyle w:val="Hyperlink"/>
                <w:rFonts w:ascii="Arial" w:hAnsi="Arial" w:cs="Arial"/>
              </w:rPr>
              <w:t xml:space="preserve"> Information</w:t>
            </w:r>
          </w:p>
        </w:tc>
        <w:tc>
          <w:tcPr>
            <w:tcW w:w="1188" w:type="dxa"/>
            <w:shd w:val="clear" w:color="auto" w:fill="auto"/>
          </w:tcPr>
          <w:p w14:paraId="63E1DCC0" w14:textId="1416B9F1" w:rsidR="00AA4417" w:rsidRPr="00443571" w:rsidRDefault="001A7CBF" w:rsidP="00991CD0">
            <w:pPr>
              <w:jc w:val="center"/>
              <w:rPr>
                <w:rFonts w:ascii="Arial" w:hAnsi="Arial" w:cs="Arial"/>
                <w:b/>
                <w:bCs/>
              </w:rPr>
            </w:pPr>
            <w:r>
              <w:rPr>
                <w:rFonts w:ascii="Arial" w:hAnsi="Arial" w:cs="Arial"/>
                <w:b/>
                <w:bCs/>
              </w:rPr>
              <w:t>7</w:t>
            </w:r>
          </w:p>
        </w:tc>
      </w:tr>
      <w:tr w:rsidR="00AA4417" w:rsidRPr="00443571" w14:paraId="6DEADFBF" w14:textId="77777777" w:rsidTr="001541CD">
        <w:tc>
          <w:tcPr>
            <w:tcW w:w="706" w:type="dxa"/>
            <w:shd w:val="clear" w:color="auto" w:fill="auto"/>
          </w:tcPr>
          <w:p w14:paraId="7B103E50" w14:textId="77777777" w:rsidR="00AA4417" w:rsidRPr="00B71A17" w:rsidRDefault="00AA4417" w:rsidP="00991CD0">
            <w:pPr>
              <w:jc w:val="both"/>
              <w:rPr>
                <w:rFonts w:ascii="Arial" w:hAnsi="Arial" w:cs="Arial"/>
                <w:b/>
                <w:bCs/>
              </w:rPr>
            </w:pPr>
            <w:r w:rsidRPr="00B71A17">
              <w:rPr>
                <w:rFonts w:ascii="Arial" w:hAnsi="Arial" w:cs="Arial"/>
                <w:b/>
                <w:bCs/>
              </w:rPr>
              <w:t>6</w:t>
            </w:r>
          </w:p>
        </w:tc>
        <w:tc>
          <w:tcPr>
            <w:tcW w:w="7115" w:type="dxa"/>
            <w:shd w:val="clear" w:color="auto" w:fill="auto"/>
          </w:tcPr>
          <w:p w14:paraId="39336E49" w14:textId="77777777" w:rsidR="00AA4417" w:rsidRPr="004D09E4" w:rsidRDefault="00000000" w:rsidP="00991CD0">
            <w:pPr>
              <w:jc w:val="both"/>
              <w:rPr>
                <w:rFonts w:ascii="Arial" w:hAnsi="Arial" w:cs="Arial"/>
                <w:bCs/>
              </w:rPr>
            </w:pPr>
            <w:hyperlink w:anchor="InvolvementWithFriendsFamilyEtc" w:history="1">
              <w:r w:rsidR="00AA4417" w:rsidRPr="00DD1FDE">
                <w:rPr>
                  <w:rStyle w:val="Hyperlink"/>
                  <w:rFonts w:ascii="Arial" w:hAnsi="Arial" w:cs="Arial"/>
                </w:rPr>
                <w:t>Involvement with friends, family members and other support networks</w:t>
              </w:r>
            </w:hyperlink>
          </w:p>
        </w:tc>
        <w:tc>
          <w:tcPr>
            <w:tcW w:w="1188" w:type="dxa"/>
            <w:shd w:val="clear" w:color="auto" w:fill="auto"/>
          </w:tcPr>
          <w:p w14:paraId="051ABDAA" w14:textId="460AFDAF" w:rsidR="00AA4417" w:rsidRDefault="00CD30F8" w:rsidP="00991CD0">
            <w:pPr>
              <w:jc w:val="center"/>
              <w:rPr>
                <w:rFonts w:ascii="Arial" w:hAnsi="Arial" w:cs="Arial"/>
                <w:b/>
                <w:bCs/>
              </w:rPr>
            </w:pPr>
            <w:r>
              <w:rPr>
                <w:rFonts w:ascii="Arial" w:hAnsi="Arial" w:cs="Arial"/>
                <w:b/>
                <w:bCs/>
              </w:rPr>
              <w:t>8</w:t>
            </w:r>
          </w:p>
        </w:tc>
      </w:tr>
      <w:tr w:rsidR="00AA4417" w:rsidRPr="00443571" w14:paraId="16D09B70" w14:textId="77777777" w:rsidTr="001541CD">
        <w:tc>
          <w:tcPr>
            <w:tcW w:w="706" w:type="dxa"/>
            <w:shd w:val="clear" w:color="auto" w:fill="auto"/>
          </w:tcPr>
          <w:p w14:paraId="66969D0B" w14:textId="77777777" w:rsidR="00AA4417" w:rsidRPr="00B71A17" w:rsidRDefault="00AA4417" w:rsidP="00991CD0">
            <w:pPr>
              <w:jc w:val="both"/>
              <w:rPr>
                <w:rFonts w:ascii="Arial" w:hAnsi="Arial" w:cs="Arial"/>
                <w:b/>
                <w:bCs/>
              </w:rPr>
            </w:pPr>
            <w:r w:rsidRPr="00B71A17">
              <w:rPr>
                <w:rFonts w:ascii="Arial" w:hAnsi="Arial" w:cs="Arial"/>
                <w:b/>
                <w:bCs/>
              </w:rPr>
              <w:t>7</w:t>
            </w:r>
          </w:p>
        </w:tc>
        <w:tc>
          <w:tcPr>
            <w:tcW w:w="7115" w:type="dxa"/>
            <w:shd w:val="clear" w:color="auto" w:fill="auto"/>
          </w:tcPr>
          <w:p w14:paraId="3B13962C" w14:textId="77777777" w:rsidR="00AA4417" w:rsidRPr="004D09E4" w:rsidRDefault="00000000" w:rsidP="00991CD0">
            <w:pPr>
              <w:jc w:val="both"/>
              <w:rPr>
                <w:rFonts w:ascii="Arial" w:hAnsi="Arial" w:cs="Arial"/>
              </w:rPr>
            </w:pPr>
            <w:hyperlink w:anchor="EstablishingADHR" w:history="1">
              <w:r w:rsidR="00AA4417" w:rsidRPr="00DD1FDE">
                <w:rPr>
                  <w:rStyle w:val="Hyperlink"/>
                  <w:rFonts w:ascii="Arial" w:hAnsi="Arial" w:cs="Arial"/>
                </w:rPr>
                <w:t>Establishing a DHR</w:t>
              </w:r>
            </w:hyperlink>
          </w:p>
        </w:tc>
        <w:tc>
          <w:tcPr>
            <w:tcW w:w="1188" w:type="dxa"/>
            <w:shd w:val="clear" w:color="auto" w:fill="auto"/>
          </w:tcPr>
          <w:p w14:paraId="7974F464" w14:textId="22FD6685" w:rsidR="00AA4417" w:rsidRPr="00443571" w:rsidRDefault="00CD30F8" w:rsidP="00991CD0">
            <w:pPr>
              <w:jc w:val="center"/>
              <w:rPr>
                <w:rFonts w:ascii="Arial" w:hAnsi="Arial" w:cs="Arial"/>
                <w:b/>
                <w:bCs/>
              </w:rPr>
            </w:pPr>
            <w:r>
              <w:rPr>
                <w:rFonts w:ascii="Arial" w:hAnsi="Arial" w:cs="Arial"/>
                <w:b/>
                <w:bCs/>
              </w:rPr>
              <w:t>9</w:t>
            </w:r>
          </w:p>
        </w:tc>
      </w:tr>
      <w:tr w:rsidR="00AA4417" w:rsidRPr="00443571" w14:paraId="06D130D8" w14:textId="77777777" w:rsidTr="001541CD">
        <w:tc>
          <w:tcPr>
            <w:tcW w:w="706" w:type="dxa"/>
            <w:shd w:val="clear" w:color="auto" w:fill="auto"/>
          </w:tcPr>
          <w:p w14:paraId="5BE7DBF2" w14:textId="0B11B93D" w:rsidR="00AA4417" w:rsidRPr="00B71A17" w:rsidRDefault="00067653" w:rsidP="00991CD0">
            <w:pPr>
              <w:jc w:val="both"/>
              <w:rPr>
                <w:rFonts w:ascii="Arial" w:hAnsi="Arial" w:cs="Arial"/>
                <w:b/>
                <w:bCs/>
              </w:rPr>
            </w:pPr>
            <w:r>
              <w:rPr>
                <w:rFonts w:ascii="Arial" w:hAnsi="Arial" w:cs="Arial"/>
                <w:b/>
                <w:bCs/>
              </w:rPr>
              <w:t>8</w:t>
            </w:r>
          </w:p>
        </w:tc>
        <w:tc>
          <w:tcPr>
            <w:tcW w:w="7115" w:type="dxa"/>
            <w:shd w:val="clear" w:color="auto" w:fill="auto"/>
          </w:tcPr>
          <w:p w14:paraId="68EDBEF5" w14:textId="258E3596" w:rsidR="00AA4417" w:rsidRPr="004D09E4" w:rsidRDefault="00000000" w:rsidP="00991CD0">
            <w:pPr>
              <w:jc w:val="both"/>
              <w:rPr>
                <w:rFonts w:ascii="Arial" w:hAnsi="Arial" w:cs="Arial"/>
                <w:bCs/>
              </w:rPr>
            </w:pPr>
            <w:hyperlink w:anchor="CrossBorderAndOutOfCountyDHRs" w:history="1">
              <w:r w:rsidR="00AA4417" w:rsidRPr="00DD1FDE">
                <w:rPr>
                  <w:rStyle w:val="Hyperlink"/>
                  <w:rFonts w:ascii="Arial" w:hAnsi="Arial" w:cs="Arial"/>
                  <w:bCs/>
                </w:rPr>
                <w:t>Cross Border and Out of County DHRs</w:t>
              </w:r>
            </w:hyperlink>
          </w:p>
        </w:tc>
        <w:tc>
          <w:tcPr>
            <w:tcW w:w="1188" w:type="dxa"/>
            <w:shd w:val="clear" w:color="auto" w:fill="auto"/>
          </w:tcPr>
          <w:p w14:paraId="03C3BA5D" w14:textId="649CA132" w:rsidR="00AA4417" w:rsidRPr="00443571" w:rsidRDefault="009E6704" w:rsidP="00991CD0">
            <w:pPr>
              <w:jc w:val="center"/>
              <w:rPr>
                <w:rFonts w:ascii="Arial" w:hAnsi="Arial" w:cs="Arial"/>
                <w:b/>
                <w:bCs/>
              </w:rPr>
            </w:pPr>
            <w:r>
              <w:rPr>
                <w:rFonts w:ascii="Arial" w:hAnsi="Arial" w:cs="Arial"/>
                <w:b/>
                <w:bCs/>
              </w:rPr>
              <w:t>10</w:t>
            </w:r>
          </w:p>
        </w:tc>
      </w:tr>
      <w:tr w:rsidR="001541CD" w:rsidRPr="00443571" w14:paraId="685D1CA0" w14:textId="77777777" w:rsidTr="001541CD">
        <w:tc>
          <w:tcPr>
            <w:tcW w:w="706" w:type="dxa"/>
            <w:shd w:val="clear" w:color="auto" w:fill="auto"/>
          </w:tcPr>
          <w:p w14:paraId="224B84A5" w14:textId="5A5A7AE0" w:rsidR="001541CD" w:rsidRPr="00B71A17" w:rsidRDefault="00067653" w:rsidP="001541CD">
            <w:pPr>
              <w:jc w:val="both"/>
              <w:rPr>
                <w:rFonts w:ascii="Arial" w:hAnsi="Arial" w:cs="Arial"/>
                <w:b/>
                <w:bCs/>
              </w:rPr>
            </w:pPr>
            <w:r>
              <w:rPr>
                <w:rFonts w:ascii="Arial" w:hAnsi="Arial" w:cs="Arial"/>
                <w:b/>
                <w:bCs/>
              </w:rPr>
              <w:t>9</w:t>
            </w:r>
          </w:p>
        </w:tc>
        <w:tc>
          <w:tcPr>
            <w:tcW w:w="7115" w:type="dxa"/>
            <w:shd w:val="clear" w:color="auto" w:fill="auto"/>
          </w:tcPr>
          <w:p w14:paraId="462C6DEE" w14:textId="77777777" w:rsidR="001541CD" w:rsidRPr="004D09E4" w:rsidRDefault="00000000" w:rsidP="001541CD">
            <w:pPr>
              <w:jc w:val="both"/>
              <w:rPr>
                <w:rFonts w:ascii="Arial" w:hAnsi="Arial" w:cs="Arial"/>
                <w:bCs/>
              </w:rPr>
            </w:pPr>
            <w:hyperlink w:anchor="TheRolsOfTheIndependentChair" w:history="1">
              <w:r w:rsidR="001541CD" w:rsidRPr="00DD1FDE">
                <w:rPr>
                  <w:rStyle w:val="Hyperlink"/>
                  <w:rFonts w:ascii="Arial" w:hAnsi="Arial" w:cs="Arial"/>
                  <w:bCs/>
                </w:rPr>
                <w:t>The role of the Independent Chair of the DHR Panel</w:t>
              </w:r>
            </w:hyperlink>
          </w:p>
        </w:tc>
        <w:tc>
          <w:tcPr>
            <w:tcW w:w="1188" w:type="dxa"/>
            <w:shd w:val="clear" w:color="auto" w:fill="auto"/>
          </w:tcPr>
          <w:p w14:paraId="318221F2" w14:textId="3C37E0E9" w:rsidR="001541CD" w:rsidRPr="00443571" w:rsidRDefault="009E6704" w:rsidP="001541CD">
            <w:pPr>
              <w:jc w:val="center"/>
              <w:rPr>
                <w:rFonts w:ascii="Arial" w:hAnsi="Arial" w:cs="Arial"/>
                <w:b/>
                <w:bCs/>
              </w:rPr>
            </w:pPr>
            <w:r>
              <w:rPr>
                <w:rFonts w:ascii="Arial" w:hAnsi="Arial" w:cs="Arial"/>
                <w:b/>
                <w:bCs/>
              </w:rPr>
              <w:t>10</w:t>
            </w:r>
          </w:p>
        </w:tc>
      </w:tr>
      <w:tr w:rsidR="001541CD" w:rsidRPr="00443571" w14:paraId="406FD57D" w14:textId="77777777" w:rsidTr="001541CD">
        <w:tc>
          <w:tcPr>
            <w:tcW w:w="706" w:type="dxa"/>
            <w:shd w:val="clear" w:color="auto" w:fill="auto"/>
          </w:tcPr>
          <w:p w14:paraId="57200C8D" w14:textId="22293611" w:rsidR="001541CD" w:rsidRPr="00B71A17" w:rsidRDefault="001541CD" w:rsidP="001541CD">
            <w:pPr>
              <w:jc w:val="both"/>
              <w:rPr>
                <w:rFonts w:ascii="Arial" w:hAnsi="Arial" w:cs="Arial"/>
                <w:b/>
                <w:bCs/>
              </w:rPr>
            </w:pPr>
            <w:r w:rsidRPr="00B71A17">
              <w:rPr>
                <w:rFonts w:ascii="Arial" w:hAnsi="Arial" w:cs="Arial"/>
                <w:b/>
                <w:bCs/>
              </w:rPr>
              <w:t>1</w:t>
            </w:r>
            <w:r w:rsidR="00067653">
              <w:rPr>
                <w:rFonts w:ascii="Arial" w:hAnsi="Arial" w:cs="Arial"/>
                <w:b/>
                <w:bCs/>
              </w:rPr>
              <w:t>0</w:t>
            </w:r>
          </w:p>
        </w:tc>
        <w:tc>
          <w:tcPr>
            <w:tcW w:w="7115" w:type="dxa"/>
            <w:shd w:val="clear" w:color="auto" w:fill="auto"/>
          </w:tcPr>
          <w:p w14:paraId="038E62AE" w14:textId="52795202" w:rsidR="001541CD" w:rsidRPr="004D09E4" w:rsidRDefault="00000000" w:rsidP="001541CD">
            <w:pPr>
              <w:jc w:val="both"/>
              <w:rPr>
                <w:rFonts w:ascii="Arial" w:hAnsi="Arial" w:cs="Arial"/>
                <w:bCs/>
              </w:rPr>
            </w:pPr>
            <w:hyperlink w:anchor="ScopingChronologiesIMRs" w:history="1">
              <w:r w:rsidR="001541CD" w:rsidRPr="00DD1FDE">
                <w:rPr>
                  <w:rStyle w:val="Hyperlink"/>
                  <w:rFonts w:ascii="Arial" w:hAnsi="Arial" w:cs="Arial"/>
                  <w:bCs/>
                </w:rPr>
                <w:t xml:space="preserve">Scoping, </w:t>
              </w:r>
              <w:proofErr w:type="gramStart"/>
              <w:r w:rsidR="001541CD" w:rsidRPr="00DD1FDE">
                <w:rPr>
                  <w:rStyle w:val="Hyperlink"/>
                  <w:rFonts w:ascii="Arial" w:hAnsi="Arial" w:cs="Arial"/>
                  <w:bCs/>
                </w:rPr>
                <w:t>Chronologies</w:t>
              </w:r>
              <w:proofErr w:type="gramEnd"/>
              <w:r w:rsidR="001541CD" w:rsidRPr="00DD1FDE">
                <w:rPr>
                  <w:rStyle w:val="Hyperlink"/>
                  <w:rFonts w:ascii="Arial" w:hAnsi="Arial" w:cs="Arial"/>
                  <w:bCs/>
                </w:rPr>
                <w:t xml:space="preserve"> and </w:t>
              </w:r>
              <w:r w:rsidR="00102A08">
                <w:rPr>
                  <w:rStyle w:val="Hyperlink"/>
                  <w:rFonts w:ascii="Arial" w:hAnsi="Arial" w:cs="Arial"/>
                  <w:bCs/>
                </w:rPr>
                <w:t>Individual</w:t>
              </w:r>
              <w:r w:rsidR="001541CD" w:rsidRPr="00DD1FDE">
                <w:rPr>
                  <w:rStyle w:val="Hyperlink"/>
                  <w:rFonts w:ascii="Arial" w:hAnsi="Arial" w:cs="Arial"/>
                  <w:bCs/>
                </w:rPr>
                <w:t xml:space="preserve"> Management Reviews [IMRs]</w:t>
              </w:r>
            </w:hyperlink>
          </w:p>
        </w:tc>
        <w:tc>
          <w:tcPr>
            <w:tcW w:w="1188" w:type="dxa"/>
            <w:shd w:val="clear" w:color="auto" w:fill="auto"/>
          </w:tcPr>
          <w:p w14:paraId="086C5E71" w14:textId="59AFD238" w:rsidR="001541CD" w:rsidRPr="00443571" w:rsidRDefault="001A7B7F" w:rsidP="001541CD">
            <w:pPr>
              <w:jc w:val="center"/>
              <w:rPr>
                <w:rFonts w:ascii="Arial" w:hAnsi="Arial" w:cs="Arial"/>
                <w:b/>
                <w:bCs/>
              </w:rPr>
            </w:pPr>
            <w:r>
              <w:rPr>
                <w:rFonts w:ascii="Arial" w:hAnsi="Arial" w:cs="Arial"/>
                <w:b/>
                <w:bCs/>
              </w:rPr>
              <w:t>11</w:t>
            </w:r>
          </w:p>
        </w:tc>
      </w:tr>
      <w:tr w:rsidR="001541CD" w:rsidRPr="00443571" w14:paraId="2C56E0C0" w14:textId="77777777" w:rsidTr="001541CD">
        <w:tc>
          <w:tcPr>
            <w:tcW w:w="706" w:type="dxa"/>
            <w:shd w:val="clear" w:color="auto" w:fill="auto"/>
          </w:tcPr>
          <w:p w14:paraId="1D5DFE58" w14:textId="411729BB" w:rsidR="001541CD" w:rsidRPr="00B71A17" w:rsidRDefault="001541CD" w:rsidP="001541CD">
            <w:pPr>
              <w:jc w:val="both"/>
              <w:rPr>
                <w:rFonts w:ascii="Arial" w:hAnsi="Arial" w:cs="Arial"/>
                <w:b/>
                <w:bCs/>
              </w:rPr>
            </w:pPr>
            <w:r w:rsidRPr="00B71A17">
              <w:rPr>
                <w:rFonts w:ascii="Arial" w:hAnsi="Arial" w:cs="Arial"/>
                <w:b/>
                <w:bCs/>
              </w:rPr>
              <w:t>1</w:t>
            </w:r>
            <w:r w:rsidR="00067653">
              <w:rPr>
                <w:rFonts w:ascii="Arial" w:hAnsi="Arial" w:cs="Arial"/>
                <w:b/>
                <w:bCs/>
              </w:rPr>
              <w:t>1</w:t>
            </w:r>
          </w:p>
        </w:tc>
        <w:tc>
          <w:tcPr>
            <w:tcW w:w="7115" w:type="dxa"/>
            <w:shd w:val="clear" w:color="auto" w:fill="auto"/>
          </w:tcPr>
          <w:p w14:paraId="39F338F5" w14:textId="77777777" w:rsidR="001541CD" w:rsidRPr="004D09E4" w:rsidRDefault="00000000" w:rsidP="001541CD">
            <w:pPr>
              <w:jc w:val="both"/>
              <w:rPr>
                <w:rFonts w:ascii="Arial" w:hAnsi="Arial" w:cs="Arial"/>
                <w:bCs/>
              </w:rPr>
            </w:pPr>
            <w:hyperlink w:anchor="OverviewReportAndActionPlan" w:history="1">
              <w:r w:rsidR="001541CD" w:rsidRPr="00DD1FDE">
                <w:rPr>
                  <w:rStyle w:val="Hyperlink"/>
                  <w:rFonts w:ascii="Arial" w:hAnsi="Arial" w:cs="Arial"/>
                  <w:bCs/>
                </w:rPr>
                <w:t>Overview Reports and Action Plans</w:t>
              </w:r>
            </w:hyperlink>
          </w:p>
        </w:tc>
        <w:tc>
          <w:tcPr>
            <w:tcW w:w="1188" w:type="dxa"/>
            <w:shd w:val="clear" w:color="auto" w:fill="auto"/>
          </w:tcPr>
          <w:p w14:paraId="42DCD151" w14:textId="7C69DD70" w:rsidR="001541CD" w:rsidRPr="00443571" w:rsidRDefault="001A7B7F" w:rsidP="001541CD">
            <w:pPr>
              <w:jc w:val="center"/>
              <w:rPr>
                <w:rFonts w:ascii="Arial" w:hAnsi="Arial" w:cs="Arial"/>
                <w:b/>
                <w:bCs/>
              </w:rPr>
            </w:pPr>
            <w:r>
              <w:rPr>
                <w:rFonts w:ascii="Arial" w:hAnsi="Arial" w:cs="Arial"/>
                <w:b/>
                <w:bCs/>
              </w:rPr>
              <w:t>1</w:t>
            </w:r>
            <w:r w:rsidR="00586133">
              <w:rPr>
                <w:rFonts w:ascii="Arial" w:hAnsi="Arial" w:cs="Arial"/>
                <w:b/>
                <w:bCs/>
              </w:rPr>
              <w:t>3</w:t>
            </w:r>
          </w:p>
        </w:tc>
      </w:tr>
      <w:tr w:rsidR="001541CD" w:rsidRPr="00443571" w14:paraId="4C40145A" w14:textId="77777777" w:rsidTr="001541CD">
        <w:tc>
          <w:tcPr>
            <w:tcW w:w="706" w:type="dxa"/>
            <w:shd w:val="clear" w:color="auto" w:fill="auto"/>
          </w:tcPr>
          <w:p w14:paraId="1BF8F4CD" w14:textId="5466BF0D" w:rsidR="001541CD" w:rsidRPr="00B71A17" w:rsidRDefault="001541CD" w:rsidP="001541CD">
            <w:pPr>
              <w:jc w:val="both"/>
              <w:rPr>
                <w:rFonts w:ascii="Arial" w:hAnsi="Arial" w:cs="Arial"/>
                <w:b/>
                <w:bCs/>
              </w:rPr>
            </w:pPr>
            <w:r w:rsidRPr="00B71A17">
              <w:rPr>
                <w:rFonts w:ascii="Arial" w:hAnsi="Arial" w:cs="Arial"/>
                <w:b/>
                <w:bCs/>
              </w:rPr>
              <w:t>1</w:t>
            </w:r>
            <w:r w:rsidR="00067653">
              <w:rPr>
                <w:rFonts w:ascii="Arial" w:hAnsi="Arial" w:cs="Arial"/>
                <w:b/>
                <w:bCs/>
              </w:rPr>
              <w:t>2</w:t>
            </w:r>
          </w:p>
        </w:tc>
        <w:tc>
          <w:tcPr>
            <w:tcW w:w="7115" w:type="dxa"/>
            <w:shd w:val="clear" w:color="auto" w:fill="auto"/>
          </w:tcPr>
          <w:p w14:paraId="38D42827" w14:textId="77777777" w:rsidR="001541CD" w:rsidRPr="004D09E4" w:rsidRDefault="00000000" w:rsidP="001541CD">
            <w:pPr>
              <w:jc w:val="both"/>
              <w:rPr>
                <w:rFonts w:ascii="Arial" w:hAnsi="Arial" w:cs="Arial"/>
                <w:bCs/>
              </w:rPr>
            </w:pPr>
            <w:hyperlink w:anchor="DisclosureAndCriminalProceedings" w:history="1">
              <w:r w:rsidR="001541CD" w:rsidRPr="00DD1FDE">
                <w:rPr>
                  <w:rStyle w:val="Hyperlink"/>
                  <w:rFonts w:ascii="Arial" w:hAnsi="Arial" w:cs="Arial"/>
                  <w:bCs/>
                </w:rPr>
                <w:t>Disclosure and Criminal Proceedings</w:t>
              </w:r>
            </w:hyperlink>
          </w:p>
        </w:tc>
        <w:tc>
          <w:tcPr>
            <w:tcW w:w="1188" w:type="dxa"/>
            <w:shd w:val="clear" w:color="auto" w:fill="auto"/>
          </w:tcPr>
          <w:p w14:paraId="3E15252D" w14:textId="708C1147" w:rsidR="001541CD" w:rsidRPr="00443571" w:rsidRDefault="001A7B7F" w:rsidP="001541CD">
            <w:pPr>
              <w:jc w:val="center"/>
              <w:rPr>
                <w:rFonts w:ascii="Arial" w:hAnsi="Arial" w:cs="Arial"/>
                <w:b/>
                <w:bCs/>
              </w:rPr>
            </w:pPr>
            <w:r>
              <w:rPr>
                <w:rFonts w:ascii="Arial" w:hAnsi="Arial" w:cs="Arial"/>
                <w:b/>
                <w:bCs/>
              </w:rPr>
              <w:t>14</w:t>
            </w:r>
          </w:p>
        </w:tc>
      </w:tr>
      <w:tr w:rsidR="001541CD" w:rsidRPr="00443571" w14:paraId="3DEB78F1" w14:textId="77777777" w:rsidTr="001541CD">
        <w:tc>
          <w:tcPr>
            <w:tcW w:w="706" w:type="dxa"/>
            <w:shd w:val="clear" w:color="auto" w:fill="auto"/>
          </w:tcPr>
          <w:p w14:paraId="515994D7" w14:textId="43652E61" w:rsidR="001541CD" w:rsidRPr="00B71A17" w:rsidRDefault="001541CD" w:rsidP="001541CD">
            <w:pPr>
              <w:jc w:val="both"/>
              <w:rPr>
                <w:rFonts w:ascii="Arial" w:hAnsi="Arial" w:cs="Arial"/>
                <w:b/>
                <w:bCs/>
              </w:rPr>
            </w:pPr>
            <w:r>
              <w:rPr>
                <w:rFonts w:ascii="Arial" w:hAnsi="Arial" w:cs="Arial"/>
                <w:b/>
                <w:bCs/>
              </w:rPr>
              <w:t>1</w:t>
            </w:r>
            <w:r w:rsidR="00067653">
              <w:rPr>
                <w:rFonts w:ascii="Arial" w:hAnsi="Arial" w:cs="Arial"/>
                <w:b/>
                <w:bCs/>
              </w:rPr>
              <w:t>3</w:t>
            </w:r>
          </w:p>
        </w:tc>
        <w:tc>
          <w:tcPr>
            <w:tcW w:w="7115" w:type="dxa"/>
            <w:shd w:val="clear" w:color="auto" w:fill="auto"/>
          </w:tcPr>
          <w:p w14:paraId="74AFD544" w14:textId="77777777" w:rsidR="001541CD" w:rsidRPr="004D09E4" w:rsidRDefault="00000000" w:rsidP="001541CD">
            <w:pPr>
              <w:jc w:val="both"/>
              <w:rPr>
                <w:rFonts w:ascii="Arial" w:hAnsi="Arial" w:cs="Arial"/>
                <w:bCs/>
              </w:rPr>
            </w:pPr>
            <w:hyperlink w:anchor="LearningLessonsAndBestPractice" w:history="1">
              <w:r w:rsidR="001541CD" w:rsidRPr="00DD1FDE">
                <w:rPr>
                  <w:rStyle w:val="Hyperlink"/>
                  <w:rFonts w:ascii="Arial" w:hAnsi="Arial" w:cs="Arial"/>
                  <w:bCs/>
                </w:rPr>
                <w:t>Lessons Learnt and Best Practice</w:t>
              </w:r>
            </w:hyperlink>
          </w:p>
        </w:tc>
        <w:tc>
          <w:tcPr>
            <w:tcW w:w="1188" w:type="dxa"/>
            <w:shd w:val="clear" w:color="auto" w:fill="auto"/>
          </w:tcPr>
          <w:p w14:paraId="189597C1" w14:textId="5ABBD94E" w:rsidR="001541CD" w:rsidRPr="00443571" w:rsidRDefault="001A7B7F" w:rsidP="001541CD">
            <w:pPr>
              <w:jc w:val="center"/>
              <w:rPr>
                <w:rFonts w:ascii="Arial" w:hAnsi="Arial" w:cs="Arial"/>
                <w:b/>
                <w:bCs/>
              </w:rPr>
            </w:pPr>
            <w:r>
              <w:rPr>
                <w:rFonts w:ascii="Arial" w:hAnsi="Arial" w:cs="Arial"/>
                <w:b/>
                <w:bCs/>
              </w:rPr>
              <w:t>1</w:t>
            </w:r>
            <w:r w:rsidR="006D748A">
              <w:rPr>
                <w:rFonts w:ascii="Arial" w:hAnsi="Arial" w:cs="Arial"/>
                <w:b/>
                <w:bCs/>
              </w:rPr>
              <w:t>6</w:t>
            </w:r>
          </w:p>
        </w:tc>
      </w:tr>
      <w:tr w:rsidR="001541CD" w:rsidRPr="00443571" w14:paraId="2073A2DC" w14:textId="77777777" w:rsidTr="001541CD">
        <w:tc>
          <w:tcPr>
            <w:tcW w:w="706" w:type="dxa"/>
            <w:shd w:val="clear" w:color="auto" w:fill="auto"/>
          </w:tcPr>
          <w:p w14:paraId="0D8B8760" w14:textId="75245A09" w:rsidR="001541CD" w:rsidRPr="00B71A17" w:rsidRDefault="001541CD" w:rsidP="001541CD">
            <w:pPr>
              <w:jc w:val="both"/>
              <w:rPr>
                <w:rFonts w:ascii="Arial" w:hAnsi="Arial" w:cs="Arial"/>
                <w:b/>
                <w:bCs/>
              </w:rPr>
            </w:pPr>
            <w:r w:rsidRPr="00B71A17">
              <w:rPr>
                <w:rFonts w:ascii="Arial" w:hAnsi="Arial" w:cs="Arial"/>
                <w:b/>
                <w:bCs/>
              </w:rPr>
              <w:t>1</w:t>
            </w:r>
            <w:r w:rsidR="00067653">
              <w:rPr>
                <w:rFonts w:ascii="Arial" w:hAnsi="Arial" w:cs="Arial"/>
                <w:b/>
                <w:bCs/>
              </w:rPr>
              <w:t>4</w:t>
            </w:r>
          </w:p>
        </w:tc>
        <w:tc>
          <w:tcPr>
            <w:tcW w:w="7115" w:type="dxa"/>
            <w:shd w:val="clear" w:color="auto" w:fill="auto"/>
          </w:tcPr>
          <w:p w14:paraId="3CD52ED7" w14:textId="77777777" w:rsidR="001541CD" w:rsidRPr="004D09E4" w:rsidRDefault="00000000" w:rsidP="001541CD">
            <w:pPr>
              <w:jc w:val="both"/>
              <w:rPr>
                <w:rFonts w:ascii="Arial" w:hAnsi="Arial" w:cs="Arial"/>
                <w:bCs/>
              </w:rPr>
            </w:pPr>
            <w:hyperlink w:anchor="PublicationOfOR" w:history="1">
              <w:r w:rsidR="001541CD" w:rsidRPr="00B1200A">
                <w:rPr>
                  <w:rStyle w:val="Hyperlink"/>
                  <w:rFonts w:ascii="Arial" w:hAnsi="Arial" w:cs="Arial"/>
                  <w:bCs/>
                </w:rPr>
                <w:t>Publication of Overview Report</w:t>
              </w:r>
            </w:hyperlink>
          </w:p>
        </w:tc>
        <w:tc>
          <w:tcPr>
            <w:tcW w:w="1188" w:type="dxa"/>
            <w:shd w:val="clear" w:color="auto" w:fill="auto"/>
          </w:tcPr>
          <w:p w14:paraId="5972B416" w14:textId="5E82EA7E" w:rsidR="001541CD" w:rsidRPr="00443571" w:rsidRDefault="001A7B7F" w:rsidP="001541CD">
            <w:pPr>
              <w:jc w:val="center"/>
              <w:rPr>
                <w:rFonts w:ascii="Arial" w:hAnsi="Arial" w:cs="Arial"/>
                <w:b/>
                <w:bCs/>
              </w:rPr>
            </w:pPr>
            <w:r>
              <w:rPr>
                <w:rFonts w:ascii="Arial" w:hAnsi="Arial" w:cs="Arial"/>
                <w:b/>
                <w:bCs/>
              </w:rPr>
              <w:t>1</w:t>
            </w:r>
            <w:r w:rsidR="006D748A">
              <w:rPr>
                <w:rFonts w:ascii="Arial" w:hAnsi="Arial" w:cs="Arial"/>
                <w:b/>
                <w:bCs/>
              </w:rPr>
              <w:t>7</w:t>
            </w:r>
          </w:p>
        </w:tc>
      </w:tr>
      <w:tr w:rsidR="001541CD" w:rsidRPr="00443571" w14:paraId="5E1585FC" w14:textId="77777777" w:rsidTr="001541CD">
        <w:tc>
          <w:tcPr>
            <w:tcW w:w="706" w:type="dxa"/>
            <w:shd w:val="clear" w:color="auto" w:fill="auto"/>
          </w:tcPr>
          <w:p w14:paraId="0F3B96DC" w14:textId="07232BB9" w:rsidR="001541CD" w:rsidRPr="00B71A17" w:rsidRDefault="001541CD" w:rsidP="001541CD">
            <w:pPr>
              <w:jc w:val="both"/>
              <w:rPr>
                <w:rFonts w:ascii="Arial" w:hAnsi="Arial" w:cs="Arial"/>
                <w:b/>
                <w:bCs/>
              </w:rPr>
            </w:pPr>
            <w:r w:rsidRPr="00B71A17">
              <w:rPr>
                <w:rFonts w:ascii="Arial" w:hAnsi="Arial" w:cs="Arial"/>
                <w:b/>
                <w:bCs/>
              </w:rPr>
              <w:t>1</w:t>
            </w:r>
            <w:r w:rsidR="00067653">
              <w:rPr>
                <w:rFonts w:ascii="Arial" w:hAnsi="Arial" w:cs="Arial"/>
                <w:b/>
                <w:bCs/>
              </w:rPr>
              <w:t>5</w:t>
            </w:r>
          </w:p>
        </w:tc>
        <w:tc>
          <w:tcPr>
            <w:tcW w:w="7115" w:type="dxa"/>
            <w:shd w:val="clear" w:color="auto" w:fill="auto"/>
          </w:tcPr>
          <w:p w14:paraId="7C172D97" w14:textId="77777777" w:rsidR="001541CD" w:rsidRPr="004D09E4" w:rsidRDefault="00000000" w:rsidP="001541CD">
            <w:pPr>
              <w:jc w:val="both"/>
              <w:rPr>
                <w:rFonts w:ascii="Arial" w:hAnsi="Arial" w:cs="Arial"/>
                <w:bCs/>
              </w:rPr>
            </w:pPr>
            <w:hyperlink w:anchor="DocumentRetention" w:history="1">
              <w:r w:rsidR="001541CD" w:rsidRPr="00B1200A">
                <w:rPr>
                  <w:rStyle w:val="Hyperlink"/>
                  <w:rFonts w:ascii="Arial" w:hAnsi="Arial" w:cs="Arial"/>
                  <w:bCs/>
                </w:rPr>
                <w:t>Document Retention</w:t>
              </w:r>
            </w:hyperlink>
          </w:p>
        </w:tc>
        <w:tc>
          <w:tcPr>
            <w:tcW w:w="1188" w:type="dxa"/>
            <w:shd w:val="clear" w:color="auto" w:fill="auto"/>
          </w:tcPr>
          <w:p w14:paraId="203CF87D" w14:textId="1DF31675" w:rsidR="001541CD" w:rsidRPr="00443571" w:rsidRDefault="001A7B7F" w:rsidP="001541CD">
            <w:pPr>
              <w:jc w:val="center"/>
              <w:rPr>
                <w:rFonts w:ascii="Arial" w:hAnsi="Arial" w:cs="Arial"/>
                <w:b/>
                <w:bCs/>
              </w:rPr>
            </w:pPr>
            <w:r>
              <w:rPr>
                <w:rFonts w:ascii="Arial" w:hAnsi="Arial" w:cs="Arial"/>
                <w:b/>
                <w:bCs/>
              </w:rPr>
              <w:t>1</w:t>
            </w:r>
            <w:r w:rsidR="006D748A">
              <w:rPr>
                <w:rFonts w:ascii="Arial" w:hAnsi="Arial" w:cs="Arial"/>
                <w:b/>
                <w:bCs/>
              </w:rPr>
              <w:t>7</w:t>
            </w:r>
          </w:p>
        </w:tc>
      </w:tr>
      <w:tr w:rsidR="001541CD" w:rsidRPr="00443571" w14:paraId="5F858A77" w14:textId="77777777" w:rsidTr="001541CD">
        <w:tc>
          <w:tcPr>
            <w:tcW w:w="706" w:type="dxa"/>
            <w:shd w:val="clear" w:color="auto" w:fill="auto"/>
          </w:tcPr>
          <w:p w14:paraId="7AC205AF" w14:textId="215951CE" w:rsidR="001541CD" w:rsidRPr="00B71A17" w:rsidRDefault="00067653" w:rsidP="001541CD">
            <w:pPr>
              <w:jc w:val="both"/>
              <w:rPr>
                <w:rFonts w:ascii="Arial" w:hAnsi="Arial" w:cs="Arial"/>
                <w:b/>
                <w:bCs/>
              </w:rPr>
            </w:pPr>
            <w:r>
              <w:rPr>
                <w:rFonts w:ascii="Arial" w:hAnsi="Arial" w:cs="Arial"/>
                <w:b/>
                <w:bCs/>
              </w:rPr>
              <w:t>16</w:t>
            </w:r>
          </w:p>
        </w:tc>
        <w:tc>
          <w:tcPr>
            <w:tcW w:w="7115" w:type="dxa"/>
            <w:shd w:val="clear" w:color="auto" w:fill="auto"/>
          </w:tcPr>
          <w:p w14:paraId="0061156C" w14:textId="77777777" w:rsidR="001541CD" w:rsidRPr="004D09E4" w:rsidRDefault="00000000" w:rsidP="001541CD">
            <w:pPr>
              <w:jc w:val="both"/>
              <w:rPr>
                <w:rFonts w:ascii="Arial" w:hAnsi="Arial" w:cs="Arial"/>
                <w:bCs/>
              </w:rPr>
            </w:pPr>
            <w:hyperlink w:anchor="SampleTemplates" w:history="1">
              <w:r w:rsidR="001541CD" w:rsidRPr="00B1200A">
                <w:rPr>
                  <w:rStyle w:val="Hyperlink"/>
                  <w:rFonts w:ascii="Arial" w:hAnsi="Arial" w:cs="Arial"/>
                  <w:bCs/>
                </w:rPr>
                <w:t>Sample Templates</w:t>
              </w:r>
            </w:hyperlink>
          </w:p>
        </w:tc>
        <w:tc>
          <w:tcPr>
            <w:tcW w:w="1188" w:type="dxa"/>
            <w:shd w:val="clear" w:color="auto" w:fill="auto"/>
          </w:tcPr>
          <w:p w14:paraId="277F73AD" w14:textId="6E167FF1" w:rsidR="001541CD" w:rsidRPr="00443571" w:rsidRDefault="001A7B7F" w:rsidP="001541CD">
            <w:pPr>
              <w:jc w:val="center"/>
              <w:rPr>
                <w:rFonts w:ascii="Arial" w:hAnsi="Arial" w:cs="Arial"/>
                <w:b/>
                <w:bCs/>
              </w:rPr>
            </w:pPr>
            <w:r>
              <w:rPr>
                <w:rFonts w:ascii="Arial" w:hAnsi="Arial" w:cs="Arial"/>
                <w:b/>
                <w:bCs/>
              </w:rPr>
              <w:t>1</w:t>
            </w:r>
            <w:r w:rsidR="003063A2">
              <w:rPr>
                <w:rFonts w:ascii="Arial" w:hAnsi="Arial" w:cs="Arial"/>
                <w:b/>
                <w:bCs/>
              </w:rPr>
              <w:t>8</w:t>
            </w:r>
          </w:p>
        </w:tc>
      </w:tr>
    </w:tbl>
    <w:p w14:paraId="211DDE8F" w14:textId="77777777" w:rsidR="0027304B" w:rsidRPr="001C7B04" w:rsidRDefault="00DA62F7" w:rsidP="0027304B">
      <w:pPr>
        <w:rPr>
          <w:b/>
          <w:u w:val="single"/>
        </w:rPr>
      </w:pPr>
      <w:r>
        <w:rPr>
          <w:sz w:val="28"/>
          <w:szCs w:val="28"/>
        </w:rPr>
        <w:br w:type="page"/>
      </w:r>
      <w:r w:rsidR="0069234B" w:rsidRPr="001C7B04">
        <w:rPr>
          <w:b/>
          <w:u w:val="single"/>
        </w:rPr>
        <w:lastRenderedPageBreak/>
        <w:t xml:space="preserve">1. </w:t>
      </w:r>
      <w:bookmarkStart w:id="0" w:name="Introduction"/>
      <w:r w:rsidR="001C7B04" w:rsidRPr="001C7B04">
        <w:rPr>
          <w:b/>
          <w:u w:val="single"/>
        </w:rPr>
        <w:t>INTRODUCTION</w:t>
      </w:r>
      <w:bookmarkEnd w:id="0"/>
    </w:p>
    <w:p w14:paraId="11EFD9EF" w14:textId="41A0B85B" w:rsidR="0027304B" w:rsidRDefault="0027304B" w:rsidP="0027304B">
      <w:pPr>
        <w:spacing w:before="240" w:after="0"/>
      </w:pPr>
      <w:r>
        <w:t xml:space="preserve">1.1 Domestic Homicide Reviews (DHRs) were established on a statutory basis from 13 April 2011, under </w:t>
      </w:r>
      <w:r w:rsidR="00575F30" w:rsidRPr="00575F30">
        <w:t>Section 9, Domestic Violence, Crime and Victims Act (2004).</w:t>
      </w:r>
    </w:p>
    <w:p w14:paraId="39887254" w14:textId="66490DF6" w:rsidR="0027304B" w:rsidRDefault="0027304B" w:rsidP="0027304B">
      <w:pPr>
        <w:spacing w:before="240" w:after="0"/>
      </w:pPr>
      <w:r>
        <w:t xml:space="preserve">1.2 The revised </w:t>
      </w:r>
      <w:hyperlink r:id="rId13" w:history="1">
        <w:r w:rsidRPr="00E9444D">
          <w:rPr>
            <w:rStyle w:val="Hyperlink"/>
          </w:rPr>
          <w:t>Multi-Agency Statutory Guidance for the Conduct of Domestic Homicide Reviews 2016</w:t>
        </w:r>
      </w:hyperlink>
      <w:r>
        <w:t xml:space="preserve"> states a DHR is a review of the circumstances in which the death of a person aged 16 or over has, or appears to have, resulted from </w:t>
      </w:r>
      <w:r w:rsidR="001C7B04">
        <w:t>violence, abuse or neglect by -</w:t>
      </w:r>
    </w:p>
    <w:p w14:paraId="4296C573" w14:textId="77777777" w:rsidR="0027304B" w:rsidRDefault="0027304B" w:rsidP="008E7E69">
      <w:pPr>
        <w:spacing w:before="240"/>
        <w:ind w:left="426"/>
      </w:pPr>
      <w:r>
        <w:t>(a) a person to whom he</w:t>
      </w:r>
      <w:r w:rsidR="008E7E69">
        <w:t>/she</w:t>
      </w:r>
      <w:r>
        <w:t xml:space="preserve"> was related or with whom he</w:t>
      </w:r>
      <w:r w:rsidR="008E7E69">
        <w:t>/she</w:t>
      </w:r>
      <w:r>
        <w:t xml:space="preserve"> was or had been in an intimate pers</w:t>
      </w:r>
      <w:r w:rsidR="001C7B04">
        <w:t>onal relationship, or</w:t>
      </w:r>
    </w:p>
    <w:p w14:paraId="2D21AAD0" w14:textId="3B8B02AC" w:rsidR="0027304B" w:rsidRDefault="0027304B" w:rsidP="008E7E69">
      <w:pPr>
        <w:spacing w:before="240"/>
        <w:ind w:left="426"/>
      </w:pPr>
      <w:r>
        <w:t xml:space="preserve">(b) </w:t>
      </w:r>
      <w:r w:rsidR="001C7B04">
        <w:t>a member of the same household</w:t>
      </w:r>
      <w:r w:rsidR="00414485">
        <w:t xml:space="preserve"> as himself/herself</w:t>
      </w:r>
      <w:r w:rsidR="001C7B04">
        <w:t>,</w:t>
      </w:r>
    </w:p>
    <w:p w14:paraId="7FA2C5D3" w14:textId="77777777" w:rsidR="0027304B" w:rsidRDefault="0027304B" w:rsidP="0027304B">
      <w:pPr>
        <w:spacing w:before="240"/>
      </w:pPr>
      <w:r>
        <w:t>held with a view to identifying the lesso</w:t>
      </w:r>
      <w:r w:rsidR="001C7B04">
        <w:t>ns to be learnt from the death.</w:t>
      </w:r>
    </w:p>
    <w:p w14:paraId="228C2ECF" w14:textId="77777777" w:rsidR="0027304B" w:rsidRDefault="0027304B" w:rsidP="0027304B">
      <w:pPr>
        <w:spacing w:before="240"/>
      </w:pPr>
      <w:r>
        <w:t xml:space="preserve">1.3 In cases where a victim took their own life (suicide) and the circumstances give rise to concern, a review should be </w:t>
      </w:r>
      <w:r w:rsidR="001C7B04">
        <w:t>undertaken.</w:t>
      </w:r>
    </w:p>
    <w:p w14:paraId="76EC781D" w14:textId="77777777" w:rsidR="0027304B" w:rsidRDefault="0027304B" w:rsidP="0027304B">
      <w:pPr>
        <w:spacing w:before="240"/>
      </w:pPr>
      <w:r>
        <w:t>1.4 This protocol outlines the approach being taken across Lincolnshire in meeting this statutory requirement. It aims to supplement and not replace the full revised Multi Agency Statutory Guidance for the Conduct of Domestic Homicide Reviews issued by the Home Office in December 2016. Both the national guidance and this protocol should</w:t>
      </w:r>
      <w:r w:rsidR="00D26AE3">
        <w:t xml:space="preserve"> be used together in all cases.  In the event of a conflict the </w:t>
      </w:r>
      <w:proofErr w:type="gramStart"/>
      <w:r w:rsidR="00D26AE3">
        <w:t>Home</w:t>
      </w:r>
      <w:proofErr w:type="gramEnd"/>
      <w:r w:rsidR="00D26AE3">
        <w:t xml:space="preserve"> Office guidance will prevail.</w:t>
      </w:r>
    </w:p>
    <w:p w14:paraId="18B634A0" w14:textId="5F763912" w:rsidR="00027ECE" w:rsidRPr="00142328" w:rsidRDefault="0027304B" w:rsidP="00027ECE">
      <w:pPr>
        <w:spacing w:before="240" w:after="0"/>
      </w:pPr>
      <w:r w:rsidRPr="00142328">
        <w:t xml:space="preserve">1.5 Statutory guidance indicates it is the duty of any ‘person or body establishing or participating in a DHR’ to have regard to the Home Office Guidance. As of 13 April 2011, the requirements for initiating and undertaking a DHR </w:t>
      </w:r>
      <w:r w:rsidR="00027ECE" w:rsidRPr="00142328">
        <w:t xml:space="preserve">are the responsibility of the area in which </w:t>
      </w:r>
      <w:r w:rsidRPr="00142328">
        <w:t>‘the victim was normally resident’ or ‘the victim was last known to have f</w:t>
      </w:r>
      <w:r w:rsidR="00D26AE3" w:rsidRPr="00142328">
        <w:t xml:space="preserve">requented.’  </w:t>
      </w:r>
    </w:p>
    <w:p w14:paraId="68C8E439" w14:textId="2DA2605D" w:rsidR="0027304B" w:rsidRDefault="00D26AE3" w:rsidP="00027ECE">
      <w:r w:rsidRPr="00142328">
        <w:t>In Lincolnshire the</w:t>
      </w:r>
      <w:r w:rsidR="00E91669" w:rsidRPr="00142328">
        <w:t xml:space="preserve"> governance of all DHRs sits with the</w:t>
      </w:r>
      <w:r w:rsidR="00027ECE" w:rsidRPr="00142328">
        <w:t xml:space="preserve"> Lincolnshire Domestic Abuse Partnership [LDAP] </w:t>
      </w:r>
      <w:r w:rsidR="00414485">
        <w:t>on behalf of</w:t>
      </w:r>
      <w:r w:rsidR="00027ECE" w:rsidRPr="00142328">
        <w:t xml:space="preserve"> the </w:t>
      </w:r>
      <w:r w:rsidRPr="00142328">
        <w:t>Safer Lincolnshire Partnership (SLP)</w:t>
      </w:r>
      <w:r w:rsidR="00414485">
        <w:t xml:space="preserve"> who have statutory responsibility for this function</w:t>
      </w:r>
      <w:r w:rsidR="00027ECE" w:rsidRPr="00142328">
        <w:t>.</w:t>
      </w:r>
    </w:p>
    <w:p w14:paraId="7DE849ED" w14:textId="77777777" w:rsidR="0027304B" w:rsidRDefault="0027304B" w:rsidP="0027304B">
      <w:pPr>
        <w:spacing w:before="240"/>
      </w:pPr>
      <w:r>
        <w:t>1.6 Agencies required to participate under the above sta</w:t>
      </w:r>
      <w:r w:rsidR="001C7B04">
        <w:t>tutory guidance in any DHR are:</w:t>
      </w:r>
    </w:p>
    <w:p w14:paraId="53690687" w14:textId="77777777" w:rsidR="0027304B" w:rsidRDefault="0027304B" w:rsidP="0027304B">
      <w:pPr>
        <w:pStyle w:val="ListParagraph"/>
        <w:numPr>
          <w:ilvl w:val="0"/>
          <w:numId w:val="2"/>
        </w:numPr>
        <w:spacing w:before="240"/>
      </w:pPr>
      <w:r>
        <w:t>Chief Officers of Police</w:t>
      </w:r>
    </w:p>
    <w:p w14:paraId="7F2C4593" w14:textId="186E5A58" w:rsidR="0027304B" w:rsidRDefault="00FD1B04" w:rsidP="0027304B">
      <w:pPr>
        <w:pStyle w:val="ListParagraph"/>
        <w:numPr>
          <w:ilvl w:val="0"/>
          <w:numId w:val="2"/>
        </w:numPr>
        <w:spacing w:before="240"/>
      </w:pPr>
      <w:r>
        <w:t>Local Authorities (Adult Social Care and/or Children's Services/Children’s Health</w:t>
      </w:r>
      <w:r w:rsidR="00F94826">
        <w:t xml:space="preserve">, </w:t>
      </w:r>
      <w:r w:rsidR="0027304B">
        <w:t>Borough, District, Unitary and County Councils)</w:t>
      </w:r>
    </w:p>
    <w:p w14:paraId="6076251E" w14:textId="1EF2639C" w:rsidR="004A6BF2" w:rsidRDefault="00142328" w:rsidP="0027304B">
      <w:pPr>
        <w:pStyle w:val="ListParagraph"/>
        <w:numPr>
          <w:ilvl w:val="0"/>
          <w:numId w:val="2"/>
        </w:numPr>
        <w:spacing w:before="240"/>
      </w:pPr>
      <w:r>
        <w:t>NHS Integrated Care Board</w:t>
      </w:r>
      <w:r w:rsidR="00D26AE3">
        <w:t xml:space="preserve"> </w:t>
      </w:r>
    </w:p>
    <w:p w14:paraId="2F7ACE89" w14:textId="77777777" w:rsidR="0027304B" w:rsidRDefault="001C7B04" w:rsidP="0027304B">
      <w:pPr>
        <w:pStyle w:val="ListParagraph"/>
        <w:numPr>
          <w:ilvl w:val="0"/>
          <w:numId w:val="2"/>
        </w:numPr>
        <w:spacing w:before="240"/>
      </w:pPr>
      <w:r>
        <w:t>Providers of Probation Services</w:t>
      </w:r>
    </w:p>
    <w:p w14:paraId="1552210F" w14:textId="158453E9" w:rsidR="0027304B" w:rsidRDefault="0027304B" w:rsidP="00206398">
      <w:pPr>
        <w:pStyle w:val="ListParagraph"/>
        <w:numPr>
          <w:ilvl w:val="0"/>
          <w:numId w:val="2"/>
        </w:numPr>
        <w:spacing w:before="240"/>
      </w:pPr>
      <w:r>
        <w:t>NHS trusts (</w:t>
      </w:r>
      <w:r w:rsidR="00CB5AFB">
        <w:t>LPFT, LCHS,</w:t>
      </w:r>
      <w:r w:rsidR="00B16010">
        <w:t xml:space="preserve"> ULHT</w:t>
      </w:r>
      <w:r>
        <w:t>)</w:t>
      </w:r>
    </w:p>
    <w:p w14:paraId="0ACAF446" w14:textId="77777777" w:rsidR="0027304B" w:rsidRDefault="0027304B" w:rsidP="0027304B">
      <w:pPr>
        <w:spacing w:before="240"/>
      </w:pPr>
      <w:r>
        <w:t>1.7 Other r</w:t>
      </w:r>
      <w:r w:rsidR="00D26AE3">
        <w:t>elevant agencies may be invited</w:t>
      </w:r>
      <w:r>
        <w:t xml:space="preserve"> to participate in the DHR at th</w:t>
      </w:r>
      <w:r w:rsidR="001C7B04">
        <w:t>e request of the review panel.</w:t>
      </w:r>
    </w:p>
    <w:p w14:paraId="2709E145" w14:textId="77777777" w:rsidR="0027304B" w:rsidRDefault="004A6BF2" w:rsidP="0027304B">
      <w:r>
        <w:lastRenderedPageBreak/>
        <w:t>1.8 This</w:t>
      </w:r>
      <w:r w:rsidR="0027304B">
        <w:t xml:space="preserve"> agreed protocol aims to give clari</w:t>
      </w:r>
      <w:r w:rsidR="008E7E69">
        <w:t xml:space="preserve">ty regarding the process itself, in line with the DHR Flowchart available </w:t>
      </w:r>
      <w:r w:rsidR="0089017C">
        <w:t>in section 16</w:t>
      </w:r>
      <w:r w:rsidR="008E7E69">
        <w:t xml:space="preserve"> </w:t>
      </w:r>
      <w:proofErr w:type="gramStart"/>
      <w:r w:rsidR="0027304B">
        <w:t>and also</w:t>
      </w:r>
      <w:proofErr w:type="gramEnd"/>
      <w:r w:rsidR="0027304B">
        <w:t xml:space="preserve"> the roles and responsibilities of the officers</w:t>
      </w:r>
      <w:r w:rsidR="001C7B04">
        <w:t>/partnerships in that process.</w:t>
      </w:r>
    </w:p>
    <w:p w14:paraId="4113E49D" w14:textId="77777777" w:rsidR="0027304B" w:rsidRPr="001C7B04" w:rsidRDefault="001C7B04" w:rsidP="0027304B">
      <w:pPr>
        <w:rPr>
          <w:b/>
          <w:u w:val="single"/>
        </w:rPr>
      </w:pPr>
      <w:r w:rsidRPr="001C7B04">
        <w:rPr>
          <w:b/>
          <w:u w:val="single"/>
        </w:rPr>
        <w:t xml:space="preserve">2. </w:t>
      </w:r>
      <w:bookmarkStart w:id="1" w:name="ThePurposeOfADHR"/>
      <w:r w:rsidRPr="001C7B04">
        <w:rPr>
          <w:b/>
          <w:u w:val="single"/>
        </w:rPr>
        <w:t>THE PURPOSE OF A DHR</w:t>
      </w:r>
      <w:bookmarkEnd w:id="1"/>
    </w:p>
    <w:p w14:paraId="33363EFE" w14:textId="77777777" w:rsidR="0027304B" w:rsidRDefault="004A6BF2" w:rsidP="0027304B">
      <w:r>
        <w:t>2.1 The</w:t>
      </w:r>
      <w:r w:rsidR="0027304B">
        <w:t xml:space="preserve"> purpose </w:t>
      </w:r>
      <w:r w:rsidR="001C7B04">
        <w:t>is to:</w:t>
      </w:r>
    </w:p>
    <w:p w14:paraId="431B5597" w14:textId="77777777" w:rsidR="0027304B" w:rsidRDefault="0027304B" w:rsidP="0027304B">
      <w:pPr>
        <w:pStyle w:val="ListParagraph"/>
        <w:numPr>
          <w:ilvl w:val="0"/>
          <w:numId w:val="1"/>
        </w:numPr>
      </w:pPr>
      <w:r>
        <w:t xml:space="preserve">establish what lessons are to be learned from the domestic homicide regarding the way in which local professionals and organisations work individually and </w:t>
      </w:r>
      <w:r w:rsidR="001C7B04">
        <w:t xml:space="preserve">together to safeguard </w:t>
      </w:r>
      <w:proofErr w:type="gramStart"/>
      <w:r w:rsidR="001C7B04">
        <w:t>victims;</w:t>
      </w:r>
      <w:proofErr w:type="gramEnd"/>
    </w:p>
    <w:p w14:paraId="0AAF47FE" w14:textId="77777777" w:rsidR="0027304B" w:rsidRDefault="0027304B" w:rsidP="0027304B">
      <w:pPr>
        <w:pStyle w:val="ListParagraph"/>
        <w:numPr>
          <w:ilvl w:val="0"/>
          <w:numId w:val="1"/>
        </w:numPr>
      </w:pPr>
      <w:r>
        <w:t xml:space="preserve">identify clearly what those lessons are both within and between agencies, how and within what timescales they will be acted on, and what is </w:t>
      </w:r>
      <w:r w:rsidR="001C7B04">
        <w:t xml:space="preserve">expected to change as a </w:t>
      </w:r>
      <w:proofErr w:type="gramStart"/>
      <w:r w:rsidR="001C7B04">
        <w:t>result;</w:t>
      </w:r>
      <w:proofErr w:type="gramEnd"/>
    </w:p>
    <w:p w14:paraId="01698F5A" w14:textId="77777777" w:rsidR="0027304B" w:rsidRDefault="0027304B" w:rsidP="0027304B">
      <w:pPr>
        <w:pStyle w:val="ListParagraph"/>
        <w:numPr>
          <w:ilvl w:val="0"/>
          <w:numId w:val="1"/>
        </w:numPr>
      </w:pPr>
      <w:r>
        <w:t xml:space="preserve">apply these lessons to service responses including changes to inform national and local policies </w:t>
      </w:r>
      <w:r w:rsidR="001C7B04">
        <w:t xml:space="preserve">and procedures as </w:t>
      </w:r>
      <w:proofErr w:type="gramStart"/>
      <w:r w:rsidR="001C7B04">
        <w:t>appropriate;</w:t>
      </w:r>
      <w:proofErr w:type="gramEnd"/>
    </w:p>
    <w:p w14:paraId="49AD2C63" w14:textId="03F6F5D7" w:rsidR="0027304B" w:rsidRDefault="0027304B" w:rsidP="0027304B">
      <w:pPr>
        <w:pStyle w:val="ListParagraph"/>
        <w:numPr>
          <w:ilvl w:val="0"/>
          <w:numId w:val="1"/>
        </w:numPr>
      </w:pPr>
      <w:r>
        <w:t xml:space="preserve">prevent domestic </w:t>
      </w:r>
      <w:r w:rsidR="0008747D">
        <w:t xml:space="preserve">abuse </w:t>
      </w:r>
      <w:r>
        <w:t>and homicide and improve service responses for all domestic abuse victims and their children by developing a co-ordinated multi-agency approach to ensure that domestic abuse is identified and responded to effectivel</w:t>
      </w:r>
      <w:r w:rsidR="001C7B04">
        <w:t xml:space="preserve">y at the earliest </w:t>
      </w:r>
      <w:proofErr w:type="gramStart"/>
      <w:r w:rsidR="001C7B04">
        <w:t>opportunity;</w:t>
      </w:r>
      <w:proofErr w:type="gramEnd"/>
    </w:p>
    <w:p w14:paraId="138CB0C1" w14:textId="3441F832" w:rsidR="0027304B" w:rsidRDefault="0027304B" w:rsidP="008E7E69">
      <w:pPr>
        <w:pStyle w:val="ListParagraph"/>
        <w:numPr>
          <w:ilvl w:val="0"/>
          <w:numId w:val="1"/>
        </w:numPr>
        <w:ind w:left="709"/>
      </w:pPr>
      <w:r>
        <w:t>contribute to a better understanding of the nature of domestic abuse; and</w:t>
      </w:r>
      <w:r w:rsidR="008E7E69">
        <w:t xml:space="preserve"> </w:t>
      </w:r>
      <w:r w:rsidR="001C7B04">
        <w:t>highlight good practice.</w:t>
      </w:r>
    </w:p>
    <w:p w14:paraId="17659270" w14:textId="77777777" w:rsidR="0027304B" w:rsidRPr="001C7B04" w:rsidRDefault="001C7B04" w:rsidP="0027304B">
      <w:pPr>
        <w:rPr>
          <w:b/>
          <w:u w:val="single"/>
        </w:rPr>
      </w:pPr>
      <w:r w:rsidRPr="001C7B04">
        <w:rPr>
          <w:b/>
          <w:u w:val="single"/>
        </w:rPr>
        <w:t xml:space="preserve">3. </w:t>
      </w:r>
      <w:bookmarkStart w:id="2" w:name="RolesAndResponsibilites"/>
      <w:r w:rsidRPr="001C7B04">
        <w:rPr>
          <w:b/>
          <w:u w:val="single"/>
        </w:rPr>
        <w:t>ROLES AND RESPONSIBILITIES</w:t>
      </w:r>
      <w:bookmarkEnd w:id="2"/>
    </w:p>
    <w:p w14:paraId="2EAFA09D" w14:textId="77777777" w:rsidR="0027304B" w:rsidRDefault="0027304B" w:rsidP="0027304B">
      <w:r>
        <w:t xml:space="preserve">3.1 The below table provides a summary of the roles and responsibilities of those </w:t>
      </w:r>
      <w:r w:rsidR="00D309CC">
        <w:t>involved in the conduct of DHRs</w:t>
      </w:r>
      <w:r w:rsidR="001C7B04">
        <w:t>.</w:t>
      </w:r>
    </w:p>
    <w:tbl>
      <w:tblPr>
        <w:tblStyle w:val="TableGrid"/>
        <w:tblW w:w="0" w:type="auto"/>
        <w:tblLook w:val="04A0" w:firstRow="1" w:lastRow="0" w:firstColumn="1" w:lastColumn="0" w:noHBand="0" w:noVBand="1"/>
      </w:tblPr>
      <w:tblGrid>
        <w:gridCol w:w="4499"/>
        <w:gridCol w:w="4517"/>
      </w:tblGrid>
      <w:tr w:rsidR="0027304B" w14:paraId="2BF043DD" w14:textId="77777777" w:rsidTr="0027304B">
        <w:tc>
          <w:tcPr>
            <w:tcW w:w="4621" w:type="dxa"/>
          </w:tcPr>
          <w:p w14:paraId="22B17D48" w14:textId="2BDEA199" w:rsidR="0027304B" w:rsidRDefault="0027304B" w:rsidP="0027304B">
            <w:r>
              <w:t xml:space="preserve"> </w:t>
            </w:r>
            <w:r w:rsidR="000E6511">
              <w:t>Lincolnshire</w:t>
            </w:r>
            <w:r w:rsidR="001F3B13">
              <w:t xml:space="preserve"> Domestic Abuse</w:t>
            </w:r>
            <w:r w:rsidR="000E6511">
              <w:t xml:space="preserve"> Pa</w:t>
            </w:r>
            <w:r w:rsidR="001C7B04">
              <w:t>rtnership</w:t>
            </w:r>
            <w:r w:rsidR="00142328">
              <w:t xml:space="preserve"> [LDAP]</w:t>
            </w:r>
          </w:p>
          <w:p w14:paraId="0E1FE942" w14:textId="77777777" w:rsidR="0027304B" w:rsidRDefault="0027304B" w:rsidP="0027304B"/>
        </w:tc>
        <w:tc>
          <w:tcPr>
            <w:tcW w:w="4621" w:type="dxa"/>
          </w:tcPr>
          <w:p w14:paraId="794441FE" w14:textId="500ADEA0" w:rsidR="0027304B" w:rsidRDefault="0027304B" w:rsidP="0027304B">
            <w:r>
              <w:t xml:space="preserve">The </w:t>
            </w:r>
            <w:r w:rsidR="000E6511">
              <w:t>L</w:t>
            </w:r>
            <w:r w:rsidR="001F3B13">
              <w:t>DA</w:t>
            </w:r>
            <w:r w:rsidR="000E6511">
              <w:t>P</w:t>
            </w:r>
            <w:r>
              <w:t xml:space="preserve"> has the statutory responsibili</w:t>
            </w:r>
            <w:r w:rsidR="00D26AE3">
              <w:t>ty</w:t>
            </w:r>
            <w:r w:rsidR="00991CD0">
              <w:t>, delegated to it by the SLP,</w:t>
            </w:r>
            <w:r w:rsidR="00D26AE3">
              <w:t xml:space="preserve"> for undertaking DHRs. The L</w:t>
            </w:r>
            <w:r w:rsidR="001F3B13">
              <w:t>DA</w:t>
            </w:r>
            <w:r w:rsidR="00D26AE3">
              <w:t>P</w:t>
            </w:r>
            <w:r>
              <w:t xml:space="preserve"> will agree timescales for the review and amendments to those timescales, agree the content of and sign off the Overview Report and accompanying reports prior to submission to the Home Office, agree the recommendations regarding publication, provide a copy of the report to relevant parties and monitor pro</w:t>
            </w:r>
            <w:r w:rsidR="001C7B04">
              <w:t>gress against the action plan.</w:t>
            </w:r>
          </w:p>
          <w:p w14:paraId="4AA4B63E" w14:textId="77777777" w:rsidR="0027304B" w:rsidRDefault="0027304B" w:rsidP="0027304B"/>
        </w:tc>
      </w:tr>
      <w:tr w:rsidR="0027304B" w14:paraId="5BB8EB3B" w14:textId="77777777" w:rsidTr="0027304B">
        <w:tc>
          <w:tcPr>
            <w:tcW w:w="4621" w:type="dxa"/>
          </w:tcPr>
          <w:p w14:paraId="3B6838DF" w14:textId="3260370D" w:rsidR="0027304B" w:rsidRDefault="00E76AA2" w:rsidP="0027304B">
            <w:r>
              <w:t xml:space="preserve">Chair of the </w:t>
            </w:r>
            <w:r w:rsidR="00991CD0">
              <w:t>SLP</w:t>
            </w:r>
          </w:p>
          <w:p w14:paraId="285A96B5" w14:textId="77777777" w:rsidR="0027304B" w:rsidRDefault="0027304B" w:rsidP="0027304B"/>
        </w:tc>
        <w:tc>
          <w:tcPr>
            <w:tcW w:w="4621" w:type="dxa"/>
          </w:tcPr>
          <w:p w14:paraId="36547379" w14:textId="097521CF" w:rsidR="0027304B" w:rsidRDefault="0027304B" w:rsidP="0027304B">
            <w:r>
              <w:t>The Chair of the</w:t>
            </w:r>
            <w:r w:rsidR="001F3B13">
              <w:t xml:space="preserve"> </w:t>
            </w:r>
            <w:r w:rsidR="00991CD0">
              <w:t>SLP</w:t>
            </w:r>
            <w:r w:rsidR="001F3B13">
              <w:t xml:space="preserve"> </w:t>
            </w:r>
            <w:r>
              <w:t>holds responsibility for establishing whether a homicide is to be subject of a DHR.</w:t>
            </w:r>
            <w:r w:rsidR="00E76AA2">
              <w:t xml:space="preserve">  </w:t>
            </w:r>
            <w:r>
              <w:t>This decision is taken in consultation with local partners. The Chair will also agree the deta</w:t>
            </w:r>
            <w:r w:rsidR="001C7B04">
              <w:t>ils of the publication process.</w:t>
            </w:r>
          </w:p>
          <w:p w14:paraId="60DEBB00" w14:textId="77777777" w:rsidR="0027304B" w:rsidRDefault="0027304B" w:rsidP="0027304B"/>
        </w:tc>
      </w:tr>
      <w:tr w:rsidR="0027304B" w14:paraId="55B0EB9E" w14:textId="77777777" w:rsidTr="0027304B">
        <w:tc>
          <w:tcPr>
            <w:tcW w:w="4621" w:type="dxa"/>
          </w:tcPr>
          <w:p w14:paraId="6025166A" w14:textId="52DBE72E" w:rsidR="0027304B" w:rsidRDefault="00AB5FD9" w:rsidP="0027304B">
            <w:r>
              <w:t>Domestic Abuse Business Manager</w:t>
            </w:r>
          </w:p>
          <w:p w14:paraId="09D9D480" w14:textId="77777777" w:rsidR="0027304B" w:rsidRDefault="00D309CC" w:rsidP="0027304B">
            <w:r>
              <w:rPr>
                <w:rStyle w:val="FootnoteReference"/>
              </w:rPr>
              <w:footnoteReference w:id="1"/>
            </w:r>
          </w:p>
        </w:tc>
        <w:tc>
          <w:tcPr>
            <w:tcW w:w="4621" w:type="dxa"/>
          </w:tcPr>
          <w:p w14:paraId="35BC39A4" w14:textId="3BC52B5C" w:rsidR="00142328" w:rsidRDefault="000E6511" w:rsidP="0027304B">
            <w:r>
              <w:t xml:space="preserve">The </w:t>
            </w:r>
            <w:r w:rsidR="00AB5FD9">
              <w:t xml:space="preserve">Domestic Abuse Business Manager </w:t>
            </w:r>
            <w:r w:rsidR="0027304B">
              <w:t xml:space="preserve">will be the single point of contact for the reviews and ensure the DHR complies with statutory </w:t>
            </w:r>
            <w:r w:rsidR="0027304B">
              <w:lastRenderedPageBreak/>
              <w:t>r</w:t>
            </w:r>
            <w:r>
              <w:t xml:space="preserve">equirements, liaise with the </w:t>
            </w:r>
            <w:r w:rsidR="00991CD0">
              <w:t xml:space="preserve">SLP </w:t>
            </w:r>
            <w:proofErr w:type="gramStart"/>
            <w:r w:rsidR="0027304B">
              <w:t>Chair</w:t>
            </w:r>
            <w:proofErr w:type="gramEnd"/>
            <w:r w:rsidR="00540060">
              <w:t xml:space="preserve"> </w:t>
            </w:r>
            <w:r w:rsidR="0027304B">
              <w:t>and will lead regarding liaison with the Home Office on behalf of the Chair. The</w:t>
            </w:r>
            <w:r w:rsidR="00142328">
              <w:t>y</w:t>
            </w:r>
            <w:r w:rsidR="0027304B">
              <w:t xml:space="preserve"> will provide advice and guidance to the Chair of the Review Panel (where needed) and facilitate the engagement of an independent overview report author on behalf of the </w:t>
            </w:r>
            <w:r w:rsidR="001F3B13">
              <w:t xml:space="preserve">LDAP </w:t>
            </w:r>
            <w:r w:rsidR="0027304B">
              <w:t>(based on advice</w:t>
            </w:r>
            <w:r>
              <w:t xml:space="preserve"> from the review panel). </w:t>
            </w:r>
          </w:p>
          <w:p w14:paraId="04B9ECE0" w14:textId="408E60EE" w:rsidR="0027304B" w:rsidRDefault="000E6511" w:rsidP="0027304B">
            <w:r>
              <w:t xml:space="preserve">The </w:t>
            </w:r>
            <w:r w:rsidR="001F3B13">
              <w:t>DA Business Manager</w:t>
            </w:r>
            <w:r w:rsidR="0027304B">
              <w:t xml:space="preserve">, on behalf of the panel, will also establish whether a parallel </w:t>
            </w:r>
            <w:r w:rsidR="00991CD0">
              <w:t>LCSPR</w:t>
            </w:r>
            <w:r w:rsidR="0027304B">
              <w:t>/SAR process or other relevan</w:t>
            </w:r>
            <w:r w:rsidR="001C7B04">
              <w:t>t reviews are being considered.</w:t>
            </w:r>
          </w:p>
          <w:p w14:paraId="6BC0ED98" w14:textId="77777777" w:rsidR="000E6511" w:rsidRDefault="000E6511" w:rsidP="0027304B"/>
          <w:p w14:paraId="6367BE1A" w14:textId="3340433E" w:rsidR="0027304B" w:rsidRDefault="000E6511" w:rsidP="0027304B">
            <w:r>
              <w:t xml:space="preserve">They will ensure that the Domestic Abuse </w:t>
            </w:r>
            <w:r w:rsidR="001F3B13">
              <w:t>Operational</w:t>
            </w:r>
            <w:r>
              <w:t xml:space="preserve"> Group</w:t>
            </w:r>
            <w:r w:rsidR="00D26AE3">
              <w:t xml:space="preserve">, Strategic </w:t>
            </w:r>
            <w:proofErr w:type="gramStart"/>
            <w:r w:rsidR="00D26AE3">
              <w:t>board</w:t>
            </w:r>
            <w:proofErr w:type="gramEnd"/>
            <w:r w:rsidR="00D26AE3">
              <w:t xml:space="preserve"> and </w:t>
            </w:r>
            <w:r w:rsidR="001F3B13">
              <w:t xml:space="preserve">Programme </w:t>
            </w:r>
            <w:r w:rsidR="00D26AE3">
              <w:t>board</w:t>
            </w:r>
            <w:r>
              <w:t xml:space="preserve"> are</w:t>
            </w:r>
            <w:r w:rsidR="004A6BF2">
              <w:t xml:space="preserve"> presented with a status update for all DHR's being undertaken and provide regular reports including a summary of the recommendations from each review.</w:t>
            </w:r>
          </w:p>
          <w:p w14:paraId="1DF4DC37" w14:textId="77777777" w:rsidR="0027304B" w:rsidRDefault="0027304B" w:rsidP="000E6511"/>
        </w:tc>
      </w:tr>
      <w:tr w:rsidR="00965D44" w14:paraId="226B2D5C" w14:textId="77777777" w:rsidTr="0027304B">
        <w:tc>
          <w:tcPr>
            <w:tcW w:w="4621" w:type="dxa"/>
          </w:tcPr>
          <w:p w14:paraId="7F4BEABB" w14:textId="77777777" w:rsidR="00965D44" w:rsidRDefault="00965D44" w:rsidP="0027304B">
            <w:r>
              <w:lastRenderedPageBreak/>
              <w:t xml:space="preserve">Legal Advisor </w:t>
            </w:r>
          </w:p>
        </w:tc>
        <w:tc>
          <w:tcPr>
            <w:tcW w:w="4621" w:type="dxa"/>
          </w:tcPr>
          <w:p w14:paraId="1E78FC13" w14:textId="7970740E" w:rsidR="00965D44" w:rsidRPr="00540060" w:rsidRDefault="00540060" w:rsidP="006C6A40">
            <w:pPr>
              <w:rPr>
                <w:rFonts w:cstheme="minorHAnsi"/>
              </w:rPr>
            </w:pPr>
            <w:r w:rsidRPr="00540060">
              <w:rPr>
                <w:rFonts w:cstheme="minorHAnsi"/>
              </w:rPr>
              <w:t xml:space="preserve">Legal Services Lincolnshire (LSL) will be the legal advisers to the Review Panel.  </w:t>
            </w:r>
            <w:r w:rsidR="006C6A40">
              <w:rPr>
                <w:rFonts w:cstheme="minorHAnsi"/>
              </w:rPr>
              <w:t xml:space="preserve">LSL will </w:t>
            </w:r>
            <w:r w:rsidR="006C6A40" w:rsidRPr="00540060">
              <w:rPr>
                <w:rFonts w:cstheme="minorHAnsi"/>
              </w:rPr>
              <w:t>ensure that the Review Panel and its members manage the risk of legal challenge to the DHR process</w:t>
            </w:r>
            <w:r w:rsidR="006C6A40">
              <w:rPr>
                <w:rFonts w:cstheme="minorHAnsi"/>
              </w:rPr>
              <w:t>.</w:t>
            </w:r>
            <w:r w:rsidR="009C181C">
              <w:rPr>
                <w:rFonts w:cstheme="minorHAnsi"/>
              </w:rPr>
              <w:t xml:space="preserve"> </w:t>
            </w:r>
            <w:r w:rsidRPr="00540060">
              <w:rPr>
                <w:rFonts w:cstheme="minorHAnsi"/>
              </w:rPr>
              <w:t xml:space="preserve">The role of LSL will be to advise the Review Panel </w:t>
            </w:r>
            <w:proofErr w:type="gramStart"/>
            <w:r w:rsidRPr="00540060">
              <w:rPr>
                <w:rFonts w:cstheme="minorHAnsi"/>
              </w:rPr>
              <w:t>so as to</w:t>
            </w:r>
            <w:proofErr w:type="gramEnd"/>
            <w:r w:rsidRPr="00540060">
              <w:rPr>
                <w:rFonts w:cstheme="minorHAnsi"/>
              </w:rPr>
              <w:t xml:space="preserve"> ensure compliance with statutory guidance; give assurance that IMRs</w:t>
            </w:r>
            <w:r w:rsidR="00991CD0">
              <w:rPr>
                <w:rFonts w:cstheme="minorHAnsi"/>
              </w:rPr>
              <w:t>/summary reports</w:t>
            </w:r>
            <w:r w:rsidRPr="00540060">
              <w:rPr>
                <w:rFonts w:cstheme="minorHAnsi"/>
              </w:rPr>
              <w:t xml:space="preserve"> and the Final Report are objective, proportionate and evidence based prior to their acceptance by the Review Panel</w:t>
            </w:r>
            <w:r w:rsidR="006C6A40">
              <w:rPr>
                <w:rFonts w:cstheme="minorHAnsi"/>
              </w:rPr>
              <w:t xml:space="preserve">. They will be the only point of contact with the </w:t>
            </w:r>
            <w:proofErr w:type="gramStart"/>
            <w:r w:rsidR="006C6A40">
              <w:rPr>
                <w:rFonts w:cstheme="minorHAnsi"/>
              </w:rPr>
              <w:t>Coroner</w:t>
            </w:r>
            <w:proofErr w:type="gramEnd"/>
            <w:r w:rsidR="006C6A40">
              <w:rPr>
                <w:rFonts w:cstheme="minorHAnsi"/>
              </w:rPr>
              <w:t xml:space="preserve"> once a DHR has been commissioned and will offer advice on the HO feedback and publication process.</w:t>
            </w:r>
            <w:r w:rsidRPr="00540060">
              <w:rPr>
                <w:rFonts w:cstheme="minorHAnsi"/>
              </w:rPr>
              <w:t xml:space="preserve"> </w:t>
            </w:r>
          </w:p>
        </w:tc>
      </w:tr>
      <w:tr w:rsidR="0027304B" w14:paraId="651DCC35" w14:textId="77777777" w:rsidTr="0027304B">
        <w:tc>
          <w:tcPr>
            <w:tcW w:w="4621" w:type="dxa"/>
          </w:tcPr>
          <w:p w14:paraId="04B7EEB4" w14:textId="7BCAED53" w:rsidR="0027304B" w:rsidRDefault="004A6BF2" w:rsidP="000E6511">
            <w:r>
              <w:t>L</w:t>
            </w:r>
            <w:r w:rsidR="001F3B13">
              <w:t>DA</w:t>
            </w:r>
            <w:r>
              <w:t xml:space="preserve">P </w:t>
            </w:r>
            <w:r w:rsidR="00967FBB">
              <w:t xml:space="preserve">Senior </w:t>
            </w:r>
            <w:r>
              <w:t xml:space="preserve">Business Support Officer </w:t>
            </w:r>
          </w:p>
        </w:tc>
        <w:tc>
          <w:tcPr>
            <w:tcW w:w="4621" w:type="dxa"/>
          </w:tcPr>
          <w:p w14:paraId="1F4D1F6C" w14:textId="77777777" w:rsidR="0027304B" w:rsidRPr="00540060" w:rsidRDefault="00540060" w:rsidP="0027304B">
            <w:pPr>
              <w:rPr>
                <w:rFonts w:cstheme="minorHAnsi"/>
              </w:rPr>
            </w:pPr>
            <w:r>
              <w:t>To support the a</w:t>
            </w:r>
            <w:r w:rsidRPr="00540060">
              <w:rPr>
                <w:rFonts w:cstheme="minorHAnsi"/>
              </w:rPr>
              <w:t>dministration</w:t>
            </w:r>
            <w:r>
              <w:rPr>
                <w:rFonts w:cstheme="minorHAnsi"/>
              </w:rPr>
              <w:t xml:space="preserve"> of DHR's, including the </w:t>
            </w:r>
            <w:r w:rsidRPr="00540060">
              <w:rPr>
                <w:rFonts w:cstheme="minorHAnsi"/>
              </w:rPr>
              <w:t>circulation of documents, arranging meetings, taking minutes, receiving Individual Management Reviews and management of the delivery of the overview report.</w:t>
            </w:r>
          </w:p>
          <w:p w14:paraId="6CBB3644" w14:textId="77777777" w:rsidR="0027304B" w:rsidRDefault="0027304B" w:rsidP="0027304B"/>
        </w:tc>
      </w:tr>
      <w:tr w:rsidR="0027304B" w14:paraId="3FD65086" w14:textId="77777777" w:rsidTr="0027304B">
        <w:tc>
          <w:tcPr>
            <w:tcW w:w="4621" w:type="dxa"/>
          </w:tcPr>
          <w:p w14:paraId="432FF0AF" w14:textId="77777777" w:rsidR="0027304B" w:rsidRDefault="0027304B" w:rsidP="0027304B">
            <w:r>
              <w:t>In</w:t>
            </w:r>
            <w:r w:rsidR="000E6511">
              <w:t>dependent Domestic Abuse Expert (EDAN Lincs)</w:t>
            </w:r>
          </w:p>
          <w:p w14:paraId="213144D7" w14:textId="77777777" w:rsidR="0027304B" w:rsidRDefault="0027304B" w:rsidP="0027304B"/>
        </w:tc>
        <w:tc>
          <w:tcPr>
            <w:tcW w:w="4621" w:type="dxa"/>
          </w:tcPr>
          <w:p w14:paraId="7A2AA8B8" w14:textId="77777777" w:rsidR="0027304B" w:rsidRDefault="0027304B" w:rsidP="0027304B">
            <w:r>
              <w:t>The Expert will act as the expert on the panel regarding domestic abuse and provide the links with speci</w:t>
            </w:r>
            <w:r w:rsidR="008E7E69">
              <w:t>alist domestic abuse services.</w:t>
            </w:r>
          </w:p>
          <w:p w14:paraId="51979906" w14:textId="77777777" w:rsidR="0027304B" w:rsidRDefault="0027304B" w:rsidP="0027304B"/>
        </w:tc>
      </w:tr>
    </w:tbl>
    <w:p w14:paraId="1BDBFA40" w14:textId="77777777" w:rsidR="0027304B" w:rsidRPr="001C7B04" w:rsidRDefault="0027304B" w:rsidP="00965D44">
      <w:pPr>
        <w:spacing w:before="240"/>
        <w:rPr>
          <w:b/>
          <w:u w:val="single"/>
        </w:rPr>
      </w:pPr>
      <w:r w:rsidRPr="001C7B04">
        <w:rPr>
          <w:b/>
          <w:u w:val="single"/>
        </w:rPr>
        <w:t xml:space="preserve">4 </w:t>
      </w:r>
      <w:bookmarkStart w:id="3" w:name="TimescalesForConductingADHR"/>
      <w:r w:rsidRPr="001C7B04">
        <w:rPr>
          <w:b/>
          <w:u w:val="single"/>
        </w:rPr>
        <w:t>TIMESCALES FOR CONDUC</w:t>
      </w:r>
      <w:r w:rsidR="001C7B04" w:rsidRPr="001C7B04">
        <w:rPr>
          <w:b/>
          <w:u w:val="single"/>
        </w:rPr>
        <w:t>TING A DOMESTIC HOMICIDE REVIEW</w:t>
      </w:r>
      <w:bookmarkEnd w:id="3"/>
    </w:p>
    <w:p w14:paraId="611C2D5C" w14:textId="7AF1D4A7" w:rsidR="004875DD" w:rsidRDefault="004A6BF2" w:rsidP="00965D44">
      <w:pPr>
        <w:spacing w:before="240"/>
      </w:pPr>
      <w:r>
        <w:t xml:space="preserve">4.1 </w:t>
      </w:r>
      <w:r w:rsidR="0069234B" w:rsidRPr="0069234B">
        <w:t>The chair</w:t>
      </w:r>
      <w:r w:rsidR="0069234B">
        <w:t xml:space="preserve"> of the </w:t>
      </w:r>
      <w:r w:rsidR="00991CD0">
        <w:t>SLP</w:t>
      </w:r>
      <w:r w:rsidR="0069234B" w:rsidRPr="0069234B">
        <w:t xml:space="preserve"> holds responsibility for establishing whether a homicide is to be the subject of a DHR by </w:t>
      </w:r>
      <w:proofErr w:type="gramStart"/>
      <w:r w:rsidR="0069234B" w:rsidRPr="0069234B">
        <w:t>giving consideration to</w:t>
      </w:r>
      <w:proofErr w:type="gramEnd"/>
      <w:r w:rsidR="0069234B" w:rsidRPr="0069234B">
        <w:t xml:space="preserve"> the definition set out in section 1</w:t>
      </w:r>
      <w:r w:rsidR="0069234B">
        <w:t xml:space="preserve"> of the 2004 Act – see section </w:t>
      </w:r>
      <w:r w:rsidR="0069234B">
        <w:lastRenderedPageBreak/>
        <w:t>1</w:t>
      </w:r>
      <w:r w:rsidR="000104D4">
        <w:t>.1</w:t>
      </w:r>
      <w:r w:rsidR="0069234B">
        <w:t xml:space="preserve"> above</w:t>
      </w:r>
      <w:r w:rsidR="0069234B" w:rsidRPr="0069234B">
        <w:t>.</w:t>
      </w:r>
      <w:r w:rsidR="00E76AA2">
        <w:t xml:space="preserve"> </w:t>
      </w:r>
      <w:r w:rsidR="0069234B" w:rsidRPr="0069234B">
        <w:t>This decision should be taken in consultation with local partners with an understanding of the dynamics of domestic abuse.</w:t>
      </w:r>
      <w:r w:rsidR="00A85F8C">
        <w:t xml:space="preserve">  </w:t>
      </w:r>
      <w:r w:rsidR="00137998">
        <w:t xml:space="preserve">In Lincolnshire this is </w:t>
      </w:r>
      <w:r w:rsidR="00A85F8C">
        <w:t>undertaken w</w:t>
      </w:r>
      <w:r w:rsidR="004875DD">
        <w:t>ithin a decision panel meeting</w:t>
      </w:r>
      <w:r w:rsidR="00A85F8C">
        <w:t>.</w:t>
      </w:r>
    </w:p>
    <w:p w14:paraId="11050089" w14:textId="77777777" w:rsidR="004875DD" w:rsidRDefault="004875DD" w:rsidP="004875DD">
      <w:pPr>
        <w:spacing w:before="240"/>
      </w:pPr>
      <w:r>
        <w:t xml:space="preserve">4.2 The DHR decision panel will have the following </w:t>
      </w:r>
      <w:r w:rsidR="00E76AA2">
        <w:t>standing</w:t>
      </w:r>
      <w:r>
        <w:t xml:space="preserve"> membership: </w:t>
      </w:r>
    </w:p>
    <w:p w14:paraId="07F240A5" w14:textId="4C634CC5" w:rsidR="004875DD" w:rsidRDefault="004875DD" w:rsidP="009F21E6">
      <w:pPr>
        <w:pStyle w:val="ListParagraph"/>
        <w:numPr>
          <w:ilvl w:val="0"/>
          <w:numId w:val="3"/>
        </w:numPr>
        <w:spacing w:before="240"/>
      </w:pPr>
      <w:r>
        <w:t>L</w:t>
      </w:r>
      <w:r w:rsidR="001F3B13">
        <w:t>DA</w:t>
      </w:r>
      <w:r>
        <w:t>P</w:t>
      </w:r>
      <w:r w:rsidR="00FA38E2">
        <w:t>/SLP</w:t>
      </w:r>
      <w:r>
        <w:t xml:space="preserve"> Strategic board chair</w:t>
      </w:r>
    </w:p>
    <w:p w14:paraId="73A6A83F" w14:textId="77777777" w:rsidR="004875DD" w:rsidRDefault="004875DD" w:rsidP="009F21E6">
      <w:pPr>
        <w:pStyle w:val="ListParagraph"/>
        <w:numPr>
          <w:ilvl w:val="0"/>
          <w:numId w:val="3"/>
        </w:numPr>
        <w:spacing w:before="240"/>
      </w:pPr>
      <w:r>
        <w:t xml:space="preserve">Panel legal advisor </w:t>
      </w:r>
    </w:p>
    <w:p w14:paraId="5B915C77" w14:textId="5388F73B" w:rsidR="004875DD" w:rsidRDefault="004875DD" w:rsidP="009F21E6">
      <w:pPr>
        <w:pStyle w:val="ListParagraph"/>
        <w:numPr>
          <w:ilvl w:val="0"/>
          <w:numId w:val="3"/>
        </w:numPr>
        <w:spacing w:before="240"/>
      </w:pPr>
      <w:r>
        <w:t>Chief Officers of Police</w:t>
      </w:r>
      <w:r w:rsidR="00991CD0">
        <w:t xml:space="preserve"> (in Lincolnshire delegated to </w:t>
      </w:r>
      <w:r w:rsidR="001F0ACA" w:rsidRPr="001F0ACA">
        <w:rPr>
          <w:rStyle w:val="cf01"/>
          <w:rFonts w:asciiTheme="minorHAnsi" w:hAnsiTheme="minorHAnsi" w:cstheme="minorHAnsi"/>
          <w:sz w:val="22"/>
          <w:szCs w:val="22"/>
        </w:rPr>
        <w:t>P</w:t>
      </w:r>
      <w:r w:rsidR="004005FB">
        <w:rPr>
          <w:rStyle w:val="cf01"/>
          <w:rFonts w:asciiTheme="minorHAnsi" w:hAnsiTheme="minorHAnsi" w:cstheme="minorHAnsi"/>
          <w:sz w:val="22"/>
          <w:szCs w:val="22"/>
        </w:rPr>
        <w:t xml:space="preserve">rotecting </w:t>
      </w:r>
      <w:r w:rsidR="001F0ACA" w:rsidRPr="001F0ACA">
        <w:rPr>
          <w:rStyle w:val="cf01"/>
          <w:rFonts w:asciiTheme="minorHAnsi" w:hAnsiTheme="minorHAnsi" w:cstheme="minorHAnsi"/>
          <w:sz w:val="22"/>
          <w:szCs w:val="22"/>
        </w:rPr>
        <w:t>V</w:t>
      </w:r>
      <w:r w:rsidR="004005FB">
        <w:rPr>
          <w:rStyle w:val="cf01"/>
          <w:rFonts w:asciiTheme="minorHAnsi" w:hAnsiTheme="minorHAnsi" w:cstheme="minorHAnsi"/>
          <w:sz w:val="22"/>
          <w:szCs w:val="22"/>
        </w:rPr>
        <w:t xml:space="preserve">ulnerable </w:t>
      </w:r>
      <w:r w:rsidR="001F0ACA" w:rsidRPr="001F0ACA">
        <w:rPr>
          <w:rStyle w:val="cf01"/>
          <w:rFonts w:asciiTheme="minorHAnsi" w:hAnsiTheme="minorHAnsi" w:cstheme="minorHAnsi"/>
          <w:sz w:val="22"/>
          <w:szCs w:val="22"/>
        </w:rPr>
        <w:t>P</w:t>
      </w:r>
      <w:r w:rsidR="004005FB">
        <w:rPr>
          <w:rStyle w:val="cf01"/>
          <w:rFonts w:asciiTheme="minorHAnsi" w:hAnsiTheme="minorHAnsi" w:cstheme="minorHAnsi"/>
          <w:sz w:val="22"/>
          <w:szCs w:val="22"/>
        </w:rPr>
        <w:t>eople</w:t>
      </w:r>
      <w:r w:rsidR="00E10A4C">
        <w:rPr>
          <w:rStyle w:val="cf01"/>
          <w:rFonts w:asciiTheme="minorHAnsi" w:hAnsiTheme="minorHAnsi" w:cstheme="minorHAnsi"/>
          <w:sz w:val="22"/>
          <w:szCs w:val="22"/>
        </w:rPr>
        <w:t xml:space="preserve"> [PVP]</w:t>
      </w:r>
      <w:r w:rsidR="001F0ACA" w:rsidRPr="001F0ACA">
        <w:rPr>
          <w:rStyle w:val="cf01"/>
          <w:rFonts w:asciiTheme="minorHAnsi" w:hAnsiTheme="minorHAnsi" w:cstheme="minorHAnsi"/>
          <w:sz w:val="22"/>
          <w:szCs w:val="22"/>
        </w:rPr>
        <w:t xml:space="preserve"> Senior Management</w:t>
      </w:r>
      <w:r w:rsidR="00991CD0">
        <w:t>)</w:t>
      </w:r>
    </w:p>
    <w:p w14:paraId="6CC6B9B4" w14:textId="7924389C" w:rsidR="0032664F" w:rsidRDefault="004875DD" w:rsidP="0032664F">
      <w:pPr>
        <w:pStyle w:val="ListParagraph"/>
        <w:numPr>
          <w:ilvl w:val="0"/>
          <w:numId w:val="3"/>
        </w:numPr>
        <w:spacing w:before="240"/>
      </w:pPr>
      <w:r>
        <w:t>Local Authorities (Adult Social Care and</w:t>
      </w:r>
      <w:r w:rsidR="001F3298">
        <w:t>/or</w:t>
      </w:r>
      <w:r>
        <w:t xml:space="preserve"> Children's Services</w:t>
      </w:r>
      <w:r w:rsidR="00A523DD">
        <w:t>/Children’s Health</w:t>
      </w:r>
      <w:r w:rsidR="007666EA">
        <w:t xml:space="preserve">, </w:t>
      </w:r>
      <w:r w:rsidR="0032664F">
        <w:t>Borough, District, Unitary and County Councils)</w:t>
      </w:r>
    </w:p>
    <w:p w14:paraId="241F3CD5" w14:textId="77777777" w:rsidR="001F2F89" w:rsidRDefault="001F2F89" w:rsidP="009F21E6">
      <w:pPr>
        <w:pStyle w:val="ListParagraph"/>
        <w:numPr>
          <w:ilvl w:val="0"/>
          <w:numId w:val="3"/>
        </w:numPr>
        <w:spacing w:before="240"/>
      </w:pPr>
      <w:r>
        <w:t xml:space="preserve">NHS Integrated Care Board </w:t>
      </w:r>
    </w:p>
    <w:p w14:paraId="2AFA4D7C" w14:textId="2CE9E5BD" w:rsidR="004875DD" w:rsidRDefault="004875DD" w:rsidP="009F21E6">
      <w:pPr>
        <w:pStyle w:val="ListParagraph"/>
        <w:numPr>
          <w:ilvl w:val="0"/>
          <w:numId w:val="3"/>
        </w:numPr>
        <w:spacing w:before="240"/>
      </w:pPr>
      <w:r>
        <w:t>Providers of Probation Services</w:t>
      </w:r>
    </w:p>
    <w:p w14:paraId="5F7B5CB8" w14:textId="77777777" w:rsidR="004875DD" w:rsidRDefault="004875DD" w:rsidP="009F21E6">
      <w:pPr>
        <w:pStyle w:val="ListParagraph"/>
        <w:numPr>
          <w:ilvl w:val="0"/>
          <w:numId w:val="3"/>
        </w:numPr>
        <w:spacing w:before="240"/>
      </w:pPr>
      <w:r>
        <w:t>NHS trusts</w:t>
      </w:r>
    </w:p>
    <w:p w14:paraId="1AA0F469" w14:textId="367E081B" w:rsidR="004875DD" w:rsidRDefault="00297C7D" w:rsidP="009F21E6">
      <w:pPr>
        <w:pStyle w:val="ListParagraph"/>
        <w:numPr>
          <w:ilvl w:val="0"/>
          <w:numId w:val="3"/>
        </w:numPr>
        <w:spacing w:before="240"/>
      </w:pPr>
      <w:r>
        <w:t>LDAP DA Business Manager</w:t>
      </w:r>
    </w:p>
    <w:p w14:paraId="1C09D72B" w14:textId="57A7542D" w:rsidR="00206398" w:rsidRDefault="00206398" w:rsidP="009F21E6">
      <w:pPr>
        <w:pStyle w:val="ListParagraph"/>
        <w:numPr>
          <w:ilvl w:val="0"/>
          <w:numId w:val="3"/>
        </w:numPr>
        <w:spacing w:before="240"/>
      </w:pPr>
      <w:r>
        <w:t>Domestic Abuse Specialist Services</w:t>
      </w:r>
      <w:r w:rsidR="006B3555">
        <w:t xml:space="preserve"> [IDVA &amp; </w:t>
      </w:r>
      <w:r w:rsidR="00102A08">
        <w:t>Adult Intervention]</w:t>
      </w:r>
    </w:p>
    <w:p w14:paraId="2BCD1366" w14:textId="77777777" w:rsidR="0027304B" w:rsidRDefault="004875DD" w:rsidP="00965D44">
      <w:pPr>
        <w:spacing w:before="240"/>
      </w:pPr>
      <w:r>
        <w:t xml:space="preserve">4.3 </w:t>
      </w:r>
      <w:r w:rsidR="004A6BF2">
        <w:t>The</w:t>
      </w:r>
      <w:r w:rsidR="0027304B">
        <w:t xml:space="preserve"> decision on </w:t>
      </w:r>
      <w:proofErr w:type="gramStart"/>
      <w:r w:rsidR="0027304B">
        <w:t>whether or not</w:t>
      </w:r>
      <w:proofErr w:type="gramEnd"/>
      <w:r w:rsidR="0027304B">
        <w:t xml:space="preserve"> to proceed with a DHR m</w:t>
      </w:r>
      <w:r w:rsidR="00E76AA2">
        <w:t xml:space="preserve">ust be taken by the decision panel </w:t>
      </w:r>
      <w:r w:rsidR="0027304B">
        <w:t>within one month of a homicid</w:t>
      </w:r>
      <w:r w:rsidR="008E7E69">
        <w:t>e coming to their attention.</w:t>
      </w:r>
    </w:p>
    <w:p w14:paraId="756DECD2" w14:textId="2358FA1F" w:rsidR="0027304B" w:rsidRDefault="004875DD" w:rsidP="00965D44">
      <w:pPr>
        <w:spacing w:before="240"/>
      </w:pPr>
      <w:r>
        <w:t xml:space="preserve">4.4 </w:t>
      </w:r>
      <w:r w:rsidR="0027304B">
        <w:t>The final Overview Report should be completed</w:t>
      </w:r>
      <w:r w:rsidR="00B17517">
        <w:t xml:space="preserve"> as soon as possible</w:t>
      </w:r>
      <w:r w:rsidR="009452A3">
        <w:t xml:space="preserve"> once</w:t>
      </w:r>
      <w:r w:rsidR="0027304B">
        <w:t xml:space="preserve"> the decision to proceed with a DHR</w:t>
      </w:r>
      <w:r w:rsidR="009452A3">
        <w:t xml:space="preserve"> has been agreed upon</w:t>
      </w:r>
      <w:r w:rsidR="0027304B">
        <w:t>.</w:t>
      </w:r>
      <w:r w:rsidR="00EC52C0">
        <w:t xml:space="preserve"> However, there may by delays due to court dates for criminal </w:t>
      </w:r>
      <w:r w:rsidR="00A15508">
        <w:t>proceedings</w:t>
      </w:r>
      <w:r w:rsidR="0084064B">
        <w:t>,</w:t>
      </w:r>
      <w:r w:rsidR="00A15508">
        <w:t xml:space="preserve"> </w:t>
      </w:r>
      <w:proofErr w:type="gramStart"/>
      <w:r w:rsidR="00A15508">
        <w:t>outcomes</w:t>
      </w:r>
      <w:proofErr w:type="gramEnd"/>
      <w:r w:rsidR="00A15508">
        <w:t xml:space="preserve"> and coronial timelines</w:t>
      </w:r>
      <w:r w:rsidR="00014478">
        <w:t xml:space="preserve">. </w:t>
      </w:r>
      <w:r w:rsidR="0027304B">
        <w:t>It may</w:t>
      </w:r>
      <w:r w:rsidR="00014478">
        <w:t xml:space="preserve"> also</w:t>
      </w:r>
      <w:r w:rsidR="0027304B">
        <w:t xml:space="preserve"> be that the complexity of case does not become apparent until the review is in </w:t>
      </w:r>
      <w:r w:rsidR="001F0C70">
        <w:t>progress,</w:t>
      </w:r>
      <w:r w:rsidR="0027304B">
        <w:t xml:space="preserve"> and this could affect the ability of the review to report within </w:t>
      </w:r>
      <w:r w:rsidR="00991CD0">
        <w:t>a</w:t>
      </w:r>
      <w:r w:rsidR="00F17A14">
        <w:t xml:space="preserve"> timely fashion</w:t>
      </w:r>
      <w:r w:rsidR="0027304B">
        <w:t xml:space="preserve">.  The </w:t>
      </w:r>
      <w:r w:rsidR="0069234B">
        <w:t>L</w:t>
      </w:r>
      <w:r w:rsidR="001F3B13">
        <w:t>DA</w:t>
      </w:r>
      <w:r w:rsidR="0069234B">
        <w:t>P</w:t>
      </w:r>
      <w:r w:rsidR="00991CD0">
        <w:t>/SLP</w:t>
      </w:r>
      <w:r w:rsidR="0027304B">
        <w:t xml:space="preserve"> should be kept regularly informed of progress by the </w:t>
      </w:r>
      <w:r w:rsidR="001F3B13">
        <w:t>DA Business Manager</w:t>
      </w:r>
      <w:r w:rsidR="008A1F6C">
        <w:t xml:space="preserve">, through updates at the DA </w:t>
      </w:r>
      <w:r w:rsidR="001F3B13">
        <w:t>Operational</w:t>
      </w:r>
      <w:r w:rsidR="008A1F6C">
        <w:t xml:space="preserve"> group, </w:t>
      </w:r>
      <w:r w:rsidR="00C86533">
        <w:t>S</w:t>
      </w:r>
      <w:r w:rsidR="008A1F6C">
        <w:t xml:space="preserve">trategic </w:t>
      </w:r>
      <w:proofErr w:type="gramStart"/>
      <w:r w:rsidR="008A1F6C">
        <w:t>board</w:t>
      </w:r>
      <w:proofErr w:type="gramEnd"/>
      <w:r w:rsidR="008A1F6C">
        <w:t xml:space="preserve"> and </w:t>
      </w:r>
      <w:r w:rsidR="001F3B13">
        <w:t>Programme</w:t>
      </w:r>
      <w:r w:rsidR="008A1F6C">
        <w:t xml:space="preserve"> board</w:t>
      </w:r>
      <w:r w:rsidR="008E7E69">
        <w:t>.</w:t>
      </w:r>
    </w:p>
    <w:p w14:paraId="15231A0B" w14:textId="46945CA3" w:rsidR="0027304B" w:rsidRDefault="004875DD" w:rsidP="00965D44">
      <w:pPr>
        <w:spacing w:before="240"/>
      </w:pPr>
      <w:r>
        <w:t>4.5</w:t>
      </w:r>
      <w:r w:rsidR="0027304B">
        <w:t xml:space="preserve"> </w:t>
      </w:r>
      <w:hyperlink r:id="rId14" w:history="1">
        <w:r w:rsidR="0027304B" w:rsidRPr="0092382E">
          <w:rPr>
            <w:rStyle w:val="Hyperlink"/>
          </w:rPr>
          <w:t>Paragraphs 48-50 of Section 5 of the Statutory Guidance</w:t>
        </w:r>
      </w:hyperlink>
      <w:r w:rsidR="0027304B">
        <w:t xml:space="preserve"> provide further details if the panel is considering waiting for the conclusion of criminal proceedi</w:t>
      </w:r>
      <w:r w:rsidR="008E7E69">
        <w:t>ngs before commencing a review.</w:t>
      </w:r>
    </w:p>
    <w:p w14:paraId="7EAAE53E" w14:textId="27CEC30C" w:rsidR="00753354" w:rsidRPr="001C7B04" w:rsidRDefault="00753354" w:rsidP="00965D44">
      <w:pPr>
        <w:spacing w:before="240"/>
        <w:rPr>
          <w:b/>
          <w:u w:val="single"/>
        </w:rPr>
      </w:pPr>
      <w:r w:rsidRPr="001C7B04">
        <w:rPr>
          <w:b/>
          <w:u w:val="single"/>
        </w:rPr>
        <w:t xml:space="preserve">5 </w:t>
      </w:r>
      <w:r w:rsidR="00983E70">
        <w:rPr>
          <w:b/>
          <w:u w:val="single"/>
        </w:rPr>
        <w:t>PROTECTING INFORMATION</w:t>
      </w:r>
      <w:r w:rsidR="005E12B0">
        <w:rPr>
          <w:b/>
          <w:u w:val="single"/>
        </w:rPr>
        <w:t xml:space="preserve"> </w:t>
      </w:r>
    </w:p>
    <w:p w14:paraId="6A7492CD" w14:textId="1E4C1855" w:rsidR="00983E70" w:rsidRDefault="00753354" w:rsidP="00983E70">
      <w:pPr>
        <w:autoSpaceDE w:val="0"/>
        <w:autoSpaceDN w:val="0"/>
        <w:adjustRightInd w:val="0"/>
        <w:spacing w:after="0"/>
        <w:rPr>
          <w:rFonts w:eastAsia="Times New Roman" w:cstheme="minorHAnsi"/>
          <w:lang w:eastAsia="en-GB"/>
        </w:rPr>
      </w:pPr>
      <w:r>
        <w:rPr>
          <w:rFonts w:eastAsia="Times New Roman" w:cstheme="minorHAnsi"/>
          <w:lang w:eastAsia="en-GB"/>
        </w:rPr>
        <w:t>5</w:t>
      </w:r>
      <w:r w:rsidRPr="0071709A">
        <w:rPr>
          <w:rFonts w:eastAsia="Times New Roman" w:cstheme="minorHAnsi"/>
          <w:lang w:eastAsia="en-GB"/>
        </w:rPr>
        <w:t>.1</w:t>
      </w:r>
      <w:r w:rsidR="00947A0D">
        <w:rPr>
          <w:rFonts w:eastAsia="Times New Roman" w:cstheme="minorHAnsi"/>
          <w:lang w:eastAsia="en-GB"/>
        </w:rPr>
        <w:t xml:space="preserve"> </w:t>
      </w:r>
      <w:r w:rsidR="00983E70">
        <w:rPr>
          <w:rFonts w:eastAsia="Times New Roman" w:cstheme="minorHAnsi"/>
          <w:lang w:eastAsia="en-GB"/>
        </w:rPr>
        <w:t>A DHR involves processing information which is very sensitive and p</w:t>
      </w:r>
      <w:r w:rsidR="00983E70" w:rsidRPr="00983E70">
        <w:rPr>
          <w:rFonts w:eastAsia="Times New Roman" w:cstheme="minorHAnsi"/>
          <w:lang w:eastAsia="en-GB"/>
        </w:rPr>
        <w:t xml:space="preserve">articular </w:t>
      </w:r>
      <w:r w:rsidR="00983E70">
        <w:rPr>
          <w:rFonts w:eastAsia="Times New Roman" w:cstheme="minorHAnsi"/>
          <w:lang w:eastAsia="en-GB"/>
        </w:rPr>
        <w:t xml:space="preserve">care must be taken </w:t>
      </w:r>
      <w:r w:rsidR="00983E70" w:rsidRPr="00983E70">
        <w:rPr>
          <w:rFonts w:eastAsia="Times New Roman" w:cstheme="minorHAnsi"/>
          <w:lang w:eastAsia="en-GB"/>
        </w:rPr>
        <w:t xml:space="preserve">when processing </w:t>
      </w:r>
      <w:r w:rsidR="00983E70">
        <w:rPr>
          <w:rFonts w:eastAsia="Times New Roman" w:cstheme="minorHAnsi"/>
          <w:lang w:eastAsia="en-GB"/>
        </w:rPr>
        <w:t>it. I</w:t>
      </w:r>
      <w:r w:rsidR="00983E70" w:rsidRPr="00983E70">
        <w:rPr>
          <w:rFonts w:eastAsia="Times New Roman" w:cstheme="minorHAnsi"/>
          <w:lang w:eastAsia="en-GB"/>
        </w:rPr>
        <w:t xml:space="preserve">nformation must </w:t>
      </w:r>
      <w:r w:rsidR="00983E70">
        <w:rPr>
          <w:rFonts w:eastAsia="Times New Roman" w:cstheme="minorHAnsi"/>
          <w:lang w:eastAsia="en-GB"/>
        </w:rPr>
        <w:t>be</w:t>
      </w:r>
      <w:r w:rsidR="00983E70" w:rsidRPr="00983E70">
        <w:rPr>
          <w:rFonts w:eastAsia="Times New Roman" w:cstheme="minorHAnsi"/>
          <w:lang w:eastAsia="en-GB"/>
        </w:rPr>
        <w:t xml:space="preserve"> subject to proportionate and reasonable controls</w:t>
      </w:r>
      <w:r w:rsidR="00983E70">
        <w:rPr>
          <w:rFonts w:eastAsia="Times New Roman" w:cstheme="minorHAnsi"/>
          <w:lang w:eastAsia="en-GB"/>
        </w:rPr>
        <w:t xml:space="preserve"> </w:t>
      </w:r>
      <w:r w:rsidR="00983E70" w:rsidRPr="00983E70">
        <w:rPr>
          <w:rFonts w:eastAsia="Times New Roman" w:cstheme="minorHAnsi"/>
          <w:lang w:eastAsia="en-GB"/>
        </w:rPr>
        <w:t>relative to the sensitivity of the information</w:t>
      </w:r>
      <w:r w:rsidR="00983E70">
        <w:rPr>
          <w:rFonts w:eastAsia="Times New Roman" w:cstheme="minorHAnsi"/>
          <w:lang w:eastAsia="en-GB"/>
        </w:rPr>
        <w:t xml:space="preserve"> and </w:t>
      </w:r>
      <w:r w:rsidR="00983E70" w:rsidRPr="00983E70">
        <w:rPr>
          <w:rFonts w:eastAsia="Times New Roman" w:cstheme="minorHAnsi"/>
          <w:lang w:eastAsia="en-GB"/>
        </w:rPr>
        <w:t>in a manner which reduces the risk of compromise or loss</w:t>
      </w:r>
      <w:r w:rsidR="00983E70">
        <w:rPr>
          <w:rFonts w:eastAsia="Times New Roman" w:cstheme="minorHAnsi"/>
          <w:lang w:eastAsia="en-GB"/>
        </w:rPr>
        <w:t>.</w:t>
      </w:r>
    </w:p>
    <w:p w14:paraId="26357809" w14:textId="77777777" w:rsidR="00983E70" w:rsidRDefault="00983E70" w:rsidP="00983E70">
      <w:pPr>
        <w:autoSpaceDE w:val="0"/>
        <w:autoSpaceDN w:val="0"/>
        <w:adjustRightInd w:val="0"/>
        <w:spacing w:after="0"/>
        <w:rPr>
          <w:rFonts w:eastAsia="Times New Roman" w:cstheme="minorHAnsi"/>
          <w:lang w:eastAsia="en-GB"/>
        </w:rPr>
      </w:pPr>
    </w:p>
    <w:p w14:paraId="66C1248E" w14:textId="0CE7A2BB" w:rsidR="00983E70" w:rsidRDefault="00983E70" w:rsidP="00983E70">
      <w:pPr>
        <w:autoSpaceDE w:val="0"/>
        <w:autoSpaceDN w:val="0"/>
        <w:adjustRightInd w:val="0"/>
        <w:spacing w:after="0"/>
        <w:rPr>
          <w:rFonts w:eastAsia="Times New Roman" w:cstheme="minorHAnsi"/>
          <w:lang w:eastAsia="en-GB"/>
        </w:rPr>
      </w:pPr>
      <w:r>
        <w:rPr>
          <w:rFonts w:eastAsia="Times New Roman" w:cstheme="minorHAnsi"/>
          <w:lang w:eastAsia="en-GB"/>
        </w:rPr>
        <w:t>5.2</w:t>
      </w:r>
      <w:r w:rsidRPr="00983E70">
        <w:t xml:space="preserve"> </w:t>
      </w:r>
      <w:r>
        <w:t xml:space="preserve">Information </w:t>
      </w:r>
      <w:r w:rsidR="005E12B0">
        <w:t xml:space="preserve">must be processed </w:t>
      </w:r>
      <w:r w:rsidRPr="00983E70">
        <w:rPr>
          <w:rFonts w:eastAsia="Times New Roman" w:cstheme="minorHAnsi"/>
          <w:lang w:eastAsia="en-GB"/>
        </w:rPr>
        <w:t>in a manner which meets legal and regulatory requirements.  This includes information received from, or exchanged with, partners</w:t>
      </w:r>
      <w:r w:rsidR="005E12B0">
        <w:rPr>
          <w:rFonts w:eastAsia="Times New Roman" w:cstheme="minorHAnsi"/>
          <w:lang w:eastAsia="en-GB"/>
        </w:rPr>
        <w:t xml:space="preserve"> and individuals acting on behalf of the DHR</w:t>
      </w:r>
      <w:r w:rsidRPr="00983E70">
        <w:rPr>
          <w:rFonts w:eastAsia="Times New Roman" w:cstheme="minorHAnsi"/>
          <w:lang w:eastAsia="en-GB"/>
        </w:rPr>
        <w:t>.</w:t>
      </w:r>
      <w:r>
        <w:rPr>
          <w:rFonts w:eastAsia="Times New Roman" w:cstheme="minorHAnsi"/>
          <w:lang w:eastAsia="en-GB"/>
        </w:rPr>
        <w:t xml:space="preserve"> </w:t>
      </w:r>
    </w:p>
    <w:p w14:paraId="4254EC6B" w14:textId="77777777" w:rsidR="005E12B0" w:rsidRDefault="005E12B0" w:rsidP="00983E70">
      <w:pPr>
        <w:autoSpaceDE w:val="0"/>
        <w:autoSpaceDN w:val="0"/>
        <w:adjustRightInd w:val="0"/>
        <w:spacing w:after="0"/>
        <w:rPr>
          <w:rFonts w:eastAsia="Times New Roman" w:cstheme="minorHAnsi"/>
          <w:lang w:eastAsia="en-GB"/>
        </w:rPr>
      </w:pPr>
    </w:p>
    <w:p w14:paraId="44A434A4" w14:textId="52D7067F" w:rsidR="005E12B0" w:rsidRPr="00084640" w:rsidRDefault="005E12B0" w:rsidP="00983E70">
      <w:pPr>
        <w:autoSpaceDE w:val="0"/>
        <w:autoSpaceDN w:val="0"/>
        <w:adjustRightInd w:val="0"/>
        <w:spacing w:after="0"/>
        <w:rPr>
          <w:rFonts w:eastAsia="Times New Roman" w:cstheme="minorHAnsi"/>
          <w:highlight w:val="yellow"/>
          <w:lang w:eastAsia="en-GB"/>
        </w:rPr>
      </w:pPr>
      <w:r>
        <w:rPr>
          <w:rFonts w:eastAsia="Times New Roman" w:cstheme="minorHAnsi"/>
          <w:lang w:eastAsia="en-GB"/>
        </w:rPr>
        <w:t>5.3. All personal data must be processed in accordance with the UK General Data Protection Regulation and the Data Protection Act 2018.</w:t>
      </w:r>
    </w:p>
    <w:p w14:paraId="3D0BEE6B" w14:textId="77777777" w:rsidR="00753354" w:rsidRDefault="00753354" w:rsidP="00753354">
      <w:pPr>
        <w:autoSpaceDE w:val="0"/>
        <w:autoSpaceDN w:val="0"/>
        <w:adjustRightInd w:val="0"/>
        <w:spacing w:after="0"/>
        <w:rPr>
          <w:rFonts w:eastAsia="Times New Roman" w:cstheme="minorHAnsi"/>
          <w:highlight w:val="yellow"/>
          <w:lang w:eastAsia="en-GB"/>
        </w:rPr>
      </w:pPr>
    </w:p>
    <w:p w14:paraId="0DC64289" w14:textId="0CFDB8DC" w:rsidR="00753354" w:rsidRDefault="005E12B0" w:rsidP="00947A0D">
      <w:pPr>
        <w:autoSpaceDE w:val="0"/>
        <w:autoSpaceDN w:val="0"/>
        <w:adjustRightInd w:val="0"/>
        <w:spacing w:after="0"/>
        <w:rPr>
          <w:rFonts w:eastAsia="Times New Roman" w:cstheme="minorHAnsi"/>
          <w:lang w:eastAsia="en-GB"/>
        </w:rPr>
      </w:pPr>
      <w:r w:rsidRPr="005C688E">
        <w:rPr>
          <w:rFonts w:eastAsia="Times New Roman" w:cstheme="minorHAnsi"/>
          <w:lang w:eastAsia="en-GB"/>
        </w:rPr>
        <w:t>5.4.</w:t>
      </w:r>
      <w:r>
        <w:rPr>
          <w:rFonts w:eastAsia="Times New Roman" w:cstheme="minorHAnsi"/>
          <w:lang w:eastAsia="en-GB"/>
        </w:rPr>
        <w:t xml:space="preserve"> Data relating to the deceased, while not subject to the data protection legislation, must still be processed in a manner which maintains confidentiality.  </w:t>
      </w:r>
    </w:p>
    <w:p w14:paraId="51089DED" w14:textId="280B044C" w:rsidR="005E12B0" w:rsidRDefault="005E12B0" w:rsidP="00753354">
      <w:pPr>
        <w:rPr>
          <w:rFonts w:eastAsia="Times New Roman" w:cstheme="minorHAnsi"/>
          <w:lang w:eastAsia="en-GB"/>
        </w:rPr>
      </w:pPr>
      <w:r>
        <w:rPr>
          <w:rFonts w:eastAsia="Times New Roman" w:cstheme="minorHAnsi"/>
          <w:lang w:eastAsia="en-GB"/>
        </w:rPr>
        <w:lastRenderedPageBreak/>
        <w:t>5.5 Chairpersons and Authors must ensure that they are able to meet the requirements set out in the relevant consultancy agreement.</w:t>
      </w:r>
    </w:p>
    <w:p w14:paraId="76A130EC" w14:textId="06D00A5D" w:rsidR="005E12B0" w:rsidRDefault="005E12B0" w:rsidP="00753354">
      <w:pPr>
        <w:rPr>
          <w:rFonts w:eastAsia="Times New Roman" w:cstheme="minorHAnsi"/>
          <w:lang w:eastAsia="en-GB"/>
        </w:rPr>
      </w:pPr>
      <w:r>
        <w:rPr>
          <w:rFonts w:eastAsia="Times New Roman" w:cstheme="minorHAnsi"/>
          <w:lang w:eastAsia="en-GB"/>
        </w:rPr>
        <w:t xml:space="preserve">5.6 Organisations must ensure their own local security and data protection policies are applied. </w:t>
      </w:r>
    </w:p>
    <w:p w14:paraId="6A9AAC79" w14:textId="02251AAE" w:rsidR="0016561F" w:rsidRDefault="0016561F" w:rsidP="00753354">
      <w:pPr>
        <w:rPr>
          <w:rFonts w:eastAsia="Times New Roman" w:cstheme="minorHAnsi"/>
          <w:lang w:eastAsia="en-GB"/>
        </w:rPr>
      </w:pPr>
      <w:r>
        <w:rPr>
          <w:rFonts w:eastAsia="Times New Roman" w:cstheme="minorHAnsi"/>
          <w:lang w:eastAsia="en-GB"/>
        </w:rPr>
        <w:t>5.</w:t>
      </w:r>
      <w:r w:rsidR="005E12B0">
        <w:rPr>
          <w:rFonts w:eastAsia="Times New Roman" w:cstheme="minorHAnsi"/>
          <w:lang w:eastAsia="en-GB"/>
        </w:rPr>
        <w:t>7</w:t>
      </w:r>
      <w:r>
        <w:rPr>
          <w:rFonts w:eastAsia="Times New Roman" w:cstheme="minorHAnsi"/>
          <w:lang w:eastAsia="en-GB"/>
        </w:rPr>
        <w:t xml:space="preserve"> In supplying data for the purposes of a DHR agencies should have regard to the purpose of a DHR set out in section 2 above and only provide data that is relevant and proportionate for that purpose.</w:t>
      </w:r>
    </w:p>
    <w:p w14:paraId="09F33613" w14:textId="77777777" w:rsidR="0027304B" w:rsidRPr="001C7B04" w:rsidRDefault="00753354" w:rsidP="00965D44">
      <w:pPr>
        <w:spacing w:before="240"/>
        <w:rPr>
          <w:b/>
          <w:u w:val="single"/>
        </w:rPr>
      </w:pPr>
      <w:r w:rsidRPr="001C7B04">
        <w:rPr>
          <w:b/>
          <w:u w:val="single"/>
        </w:rPr>
        <w:t>6</w:t>
      </w:r>
      <w:r w:rsidR="0027304B" w:rsidRPr="001C7B04">
        <w:rPr>
          <w:b/>
          <w:u w:val="single"/>
        </w:rPr>
        <w:t xml:space="preserve">. </w:t>
      </w:r>
      <w:bookmarkStart w:id="4" w:name="InvolvementWithFriendsFamilyEtc"/>
      <w:r w:rsidR="0027304B" w:rsidRPr="001C7B04">
        <w:rPr>
          <w:b/>
          <w:u w:val="single"/>
        </w:rPr>
        <w:t>INVOLVEMENT WITH FRIENDS, FAMILY MEM</w:t>
      </w:r>
      <w:r w:rsidR="008E7E69" w:rsidRPr="001C7B04">
        <w:rPr>
          <w:b/>
          <w:u w:val="single"/>
        </w:rPr>
        <w:t>BERS AND OTHER SUPPORT NETWORKS</w:t>
      </w:r>
      <w:bookmarkEnd w:id="4"/>
    </w:p>
    <w:p w14:paraId="526E2223" w14:textId="0C27665F" w:rsidR="0027304B" w:rsidRDefault="00753354" w:rsidP="00965D44">
      <w:pPr>
        <w:spacing w:before="240"/>
      </w:pPr>
      <w:r>
        <w:t>6</w:t>
      </w:r>
      <w:r w:rsidR="004A6BF2">
        <w:t>.1 The</w:t>
      </w:r>
      <w:r w:rsidR="0027304B">
        <w:t xml:space="preserve"> Review Panel should determine the appropriateness of involving friends, </w:t>
      </w:r>
      <w:proofErr w:type="gramStart"/>
      <w:r w:rsidR="0027304B">
        <w:t>family</w:t>
      </w:r>
      <w:proofErr w:type="gramEnd"/>
      <w:r w:rsidR="0027304B">
        <w:t xml:space="preserve"> or other support networks in the DHR process. However, unless there are exceptional circumstances such as Honour Based Abuse issues, these individuals should be given ‘every opportunity to contribute.’ The Review Panel should also consider on-going risk in involving the individuals who may be witnesses, especially where Hono</w:t>
      </w:r>
      <w:r w:rsidR="008E7E69">
        <w:t xml:space="preserve">ur Based </w:t>
      </w:r>
      <w:r w:rsidR="00A378EF">
        <w:t xml:space="preserve">Abuse </w:t>
      </w:r>
      <w:r w:rsidR="008E7E69">
        <w:t>i</w:t>
      </w:r>
      <w:r w:rsidR="00A378EF">
        <w:t>s</w:t>
      </w:r>
      <w:r w:rsidR="008E7E69">
        <w:t xml:space="preserve"> suspected.</w:t>
      </w:r>
    </w:p>
    <w:p w14:paraId="023C69A5" w14:textId="19C5AC8D" w:rsidR="00F07866" w:rsidRDefault="00B6330B" w:rsidP="00965D44">
      <w:pPr>
        <w:spacing w:before="240"/>
      </w:pPr>
      <w:r>
        <w:t xml:space="preserve">6.2 In relation to communication </w:t>
      </w:r>
      <w:r w:rsidR="00277AC2">
        <w:t>with</w:t>
      </w:r>
      <w:r w:rsidR="00DD67FE">
        <w:t xml:space="preserve"> minor</w:t>
      </w:r>
      <w:r>
        <w:t xml:space="preserve"> children of the deceased this should be via the most app</w:t>
      </w:r>
      <w:r w:rsidR="00483A17">
        <w:t>ropriate professional involved with the support and guidance of the Children Services Representative</w:t>
      </w:r>
      <w:r w:rsidR="00191A63">
        <w:t>.</w:t>
      </w:r>
    </w:p>
    <w:p w14:paraId="66206B22" w14:textId="7A5448E6" w:rsidR="007427F2" w:rsidRDefault="00753354" w:rsidP="00965D44">
      <w:pPr>
        <w:spacing w:before="240"/>
      </w:pPr>
      <w:r>
        <w:t>6</w:t>
      </w:r>
      <w:r w:rsidR="004A6BF2">
        <w:t>.</w:t>
      </w:r>
      <w:r w:rsidR="00191A63">
        <w:t>3</w:t>
      </w:r>
      <w:r w:rsidR="004A6BF2">
        <w:t xml:space="preserve"> It</w:t>
      </w:r>
      <w:r w:rsidR="0027304B">
        <w:t xml:space="preserve"> is essential to ensure no approach is made to potential witnesses, or people involved in the case without the knowledge of the Senior Investigating Officer (SIO) and, where appropriate, the Crown Prosecution Service (CPS).</w:t>
      </w:r>
      <w:r w:rsidR="007427F2">
        <w:t xml:space="preserve"> </w:t>
      </w:r>
      <w:r w:rsidR="007427F2" w:rsidRPr="006041DE">
        <w:t xml:space="preserve">Consideration should also be given at an early stage to working with </w:t>
      </w:r>
      <w:r w:rsidR="003E4E95">
        <w:t>F</w:t>
      </w:r>
      <w:r w:rsidR="007427F2" w:rsidRPr="006041DE">
        <w:t xml:space="preserve">amily </w:t>
      </w:r>
      <w:r w:rsidR="003E4E95">
        <w:t>L</w:t>
      </w:r>
      <w:r w:rsidR="00AC3886">
        <w:t xml:space="preserve">iaison </w:t>
      </w:r>
      <w:r w:rsidR="003E4E95">
        <w:t>O</w:t>
      </w:r>
      <w:r w:rsidR="007427F2" w:rsidRPr="006041DE">
        <w:t>fficers</w:t>
      </w:r>
      <w:r w:rsidR="003E4E95">
        <w:t xml:space="preserve"> (FLOs)</w:t>
      </w:r>
      <w:r w:rsidR="007427F2" w:rsidRPr="006041DE">
        <w:t xml:space="preserve"> and Senior Investigating Officers (SIOs) involved in any related police investigation to identify any existing advocates and the respective positions of the family, </w:t>
      </w:r>
      <w:proofErr w:type="gramStart"/>
      <w:r w:rsidR="007427F2" w:rsidRPr="006041DE">
        <w:t>friends</w:t>
      </w:r>
      <w:proofErr w:type="gramEnd"/>
      <w:r w:rsidR="007427F2" w:rsidRPr="006041DE">
        <w:t xml:space="preserve"> and other support networks with regards to the homicide</w:t>
      </w:r>
      <w:r w:rsidR="00573E8C">
        <w:t>.</w:t>
      </w:r>
    </w:p>
    <w:p w14:paraId="04BAF011" w14:textId="03753217" w:rsidR="00573E8C" w:rsidRDefault="00753354" w:rsidP="00965D44">
      <w:pPr>
        <w:spacing w:before="240"/>
      </w:pPr>
      <w:r>
        <w:t>6</w:t>
      </w:r>
      <w:r w:rsidR="00573E8C">
        <w:t>.</w:t>
      </w:r>
      <w:r w:rsidR="00191A63">
        <w:t>4</w:t>
      </w:r>
      <w:r w:rsidR="00573E8C">
        <w:t xml:space="preserve"> </w:t>
      </w:r>
      <w:r w:rsidR="00573E8C" w:rsidRPr="00573E8C">
        <w:t xml:space="preserve">The review panel should consider approaching the family of the perpetrator who may also have relevant information to offer.  The chair should also be mindful that the perpetrator or members of the perpetrator’s family might in some cases pose an </w:t>
      </w:r>
      <w:r w:rsidR="00F61209" w:rsidRPr="00573E8C">
        <w:t>on-going</w:t>
      </w:r>
      <w:r w:rsidR="00573E8C" w:rsidRPr="00573E8C">
        <w:t xml:space="preserve"> risk to the victim’s family or friends, or vice versa. If the chair is concerned that there may be a risk of imminent physical harm to any known individual(s), they should contact the police immediately so that steps can be taken to secure protection</w:t>
      </w:r>
      <w:r w:rsidR="00573E8C">
        <w:t>.</w:t>
      </w:r>
    </w:p>
    <w:p w14:paraId="12986132" w14:textId="322B42BC" w:rsidR="00573E8C" w:rsidRPr="00573E8C" w:rsidRDefault="00753354" w:rsidP="00573E8C">
      <w:pPr>
        <w:pStyle w:val="Default"/>
        <w:spacing w:line="276" w:lineRule="auto"/>
        <w:rPr>
          <w:rFonts w:asciiTheme="minorHAnsi" w:hAnsiTheme="minorHAnsi" w:cstheme="minorHAnsi"/>
          <w:sz w:val="22"/>
          <w:szCs w:val="22"/>
        </w:rPr>
      </w:pPr>
      <w:r>
        <w:rPr>
          <w:rFonts w:asciiTheme="minorHAnsi" w:hAnsiTheme="minorHAnsi" w:cstheme="minorHAnsi"/>
          <w:sz w:val="22"/>
          <w:szCs w:val="22"/>
        </w:rPr>
        <w:t>6</w:t>
      </w:r>
      <w:r w:rsidR="00573E8C" w:rsidRPr="00573E8C">
        <w:rPr>
          <w:rFonts w:asciiTheme="minorHAnsi" w:hAnsiTheme="minorHAnsi" w:cstheme="minorHAnsi"/>
          <w:sz w:val="22"/>
          <w:szCs w:val="22"/>
        </w:rPr>
        <w:t>.</w:t>
      </w:r>
      <w:r w:rsidR="00277AC2">
        <w:rPr>
          <w:rFonts w:asciiTheme="minorHAnsi" w:hAnsiTheme="minorHAnsi" w:cstheme="minorHAnsi"/>
          <w:sz w:val="22"/>
          <w:szCs w:val="22"/>
        </w:rPr>
        <w:t>5</w:t>
      </w:r>
      <w:r w:rsidR="00573E8C" w:rsidRPr="00573E8C">
        <w:rPr>
          <w:rFonts w:asciiTheme="minorHAnsi" w:hAnsiTheme="minorHAnsi" w:cstheme="minorHAnsi"/>
          <w:sz w:val="22"/>
          <w:szCs w:val="22"/>
        </w:rPr>
        <w:t xml:space="preserve"> Prior to sending the final review to the Home Office, a completed version of the review should be shared with the family</w:t>
      </w:r>
      <w:r w:rsidR="00776172">
        <w:rPr>
          <w:rFonts w:asciiTheme="minorHAnsi" w:hAnsiTheme="minorHAnsi" w:cstheme="minorHAnsi"/>
          <w:sz w:val="22"/>
          <w:szCs w:val="22"/>
        </w:rPr>
        <w:t xml:space="preserve"> who will complete a Confidentiality Undertaking</w:t>
      </w:r>
      <w:r w:rsidR="003B48A3">
        <w:rPr>
          <w:rFonts w:asciiTheme="minorHAnsi" w:hAnsiTheme="minorHAnsi" w:cstheme="minorHAnsi"/>
          <w:sz w:val="22"/>
          <w:szCs w:val="22"/>
        </w:rPr>
        <w:t xml:space="preserve"> and have an opportunity to comment on</w:t>
      </w:r>
      <w:r w:rsidR="00573E8C" w:rsidRPr="00573E8C">
        <w:rPr>
          <w:rFonts w:asciiTheme="minorHAnsi" w:hAnsiTheme="minorHAnsi" w:cstheme="minorHAnsi"/>
          <w:sz w:val="22"/>
          <w:szCs w:val="22"/>
        </w:rPr>
        <w:t xml:space="preserve"> the findings and recommendations.</w:t>
      </w:r>
      <w:r w:rsidR="00562427" w:rsidRPr="00562427">
        <w:rPr>
          <w:rFonts w:asciiTheme="minorHAnsi" w:hAnsiTheme="minorHAnsi" w:cstheme="minorHAnsi"/>
          <w:sz w:val="22"/>
          <w:szCs w:val="22"/>
        </w:rPr>
        <w:t xml:space="preserve"> </w:t>
      </w:r>
      <w:r w:rsidR="003B48A3">
        <w:rPr>
          <w:rFonts w:asciiTheme="minorHAnsi" w:hAnsiTheme="minorHAnsi" w:cstheme="minorHAnsi"/>
          <w:sz w:val="22"/>
          <w:szCs w:val="22"/>
        </w:rPr>
        <w:t>Their views will be reflected in the final review.</w:t>
      </w:r>
    </w:p>
    <w:p w14:paraId="7AD5644C" w14:textId="77777777" w:rsidR="00573E8C" w:rsidRPr="00573E8C" w:rsidRDefault="00573E8C" w:rsidP="00573E8C">
      <w:pPr>
        <w:spacing w:after="0"/>
        <w:ind w:left="720"/>
        <w:rPr>
          <w:rFonts w:eastAsia="Times New Roman" w:cstheme="minorHAnsi"/>
          <w:lang w:eastAsia="en-GB"/>
        </w:rPr>
      </w:pPr>
    </w:p>
    <w:p w14:paraId="6775AD18" w14:textId="1EE4CF0A" w:rsidR="00573E8C" w:rsidRPr="00573E8C" w:rsidRDefault="00753354" w:rsidP="00573E8C">
      <w:pPr>
        <w:autoSpaceDE w:val="0"/>
        <w:autoSpaceDN w:val="0"/>
        <w:adjustRightInd w:val="0"/>
        <w:spacing w:after="0"/>
        <w:rPr>
          <w:rFonts w:eastAsia="Times New Roman" w:cstheme="minorHAnsi"/>
          <w:lang w:eastAsia="en-GB"/>
        </w:rPr>
      </w:pPr>
      <w:r>
        <w:rPr>
          <w:rFonts w:eastAsia="Times New Roman" w:cstheme="minorHAnsi"/>
          <w:lang w:eastAsia="en-GB"/>
        </w:rPr>
        <w:t>6</w:t>
      </w:r>
      <w:r w:rsidR="00573E8C">
        <w:rPr>
          <w:rFonts w:eastAsia="Times New Roman" w:cstheme="minorHAnsi"/>
          <w:lang w:eastAsia="en-GB"/>
        </w:rPr>
        <w:t>.</w:t>
      </w:r>
      <w:r w:rsidR="00277AC2">
        <w:rPr>
          <w:rFonts w:eastAsia="Times New Roman" w:cstheme="minorHAnsi"/>
          <w:lang w:eastAsia="en-GB"/>
        </w:rPr>
        <w:t>6</w:t>
      </w:r>
      <w:r w:rsidR="00573E8C">
        <w:rPr>
          <w:rFonts w:eastAsia="Times New Roman" w:cstheme="minorHAnsi"/>
          <w:lang w:eastAsia="en-GB"/>
        </w:rPr>
        <w:t xml:space="preserve"> </w:t>
      </w:r>
      <w:r w:rsidR="00573E8C" w:rsidRPr="00573E8C">
        <w:rPr>
          <w:rFonts w:eastAsia="Times New Roman" w:cstheme="minorHAnsi"/>
          <w:lang w:eastAsia="en-GB"/>
        </w:rPr>
        <w:t xml:space="preserve">Maintain reasonable contact with the family, even if they decline involvement in the review process; it will be important to communicate through the designated advocate when the review is completed and when the review has been assessed and is ready for publication. They should also be informed about the potential consequences of publication </w:t>
      </w:r>
      <w:proofErr w:type="gramStart"/>
      <w:r w:rsidR="00573E8C" w:rsidRPr="00573E8C">
        <w:rPr>
          <w:rFonts w:eastAsia="Times New Roman" w:cstheme="minorHAnsi"/>
          <w:lang w:eastAsia="en-GB"/>
        </w:rPr>
        <w:t>i.e.</w:t>
      </w:r>
      <w:proofErr w:type="gramEnd"/>
      <w:r w:rsidR="00573E8C" w:rsidRPr="00573E8C">
        <w:rPr>
          <w:rFonts w:eastAsia="Times New Roman" w:cstheme="minorHAnsi"/>
          <w:lang w:eastAsia="en-GB"/>
        </w:rPr>
        <w:t xml:space="preserve"> media attention and renewed interest in the homicide.</w:t>
      </w:r>
    </w:p>
    <w:p w14:paraId="287E6ABB" w14:textId="2CD7543B" w:rsidR="00573E8C" w:rsidRDefault="00753354" w:rsidP="00573E8C">
      <w:pPr>
        <w:spacing w:before="240"/>
      </w:pPr>
      <w:r>
        <w:t>6</w:t>
      </w:r>
      <w:r w:rsidR="00573E8C">
        <w:t>.</w:t>
      </w:r>
      <w:r w:rsidR="00277AC2">
        <w:t>7</w:t>
      </w:r>
      <w:r w:rsidR="00573E8C">
        <w:t xml:space="preserve"> Family members, friends, </w:t>
      </w:r>
      <w:proofErr w:type="gramStart"/>
      <w:r w:rsidR="00573E8C">
        <w:t>employers</w:t>
      </w:r>
      <w:proofErr w:type="gramEnd"/>
      <w:r w:rsidR="00573E8C">
        <w:t xml:space="preserve"> and colleagues should be directed to the Home Office Information leaflets (available in English and other language</w:t>
      </w:r>
      <w:r w:rsidR="008E7E69">
        <w:t>s) explaining the DHR process:</w:t>
      </w:r>
    </w:p>
    <w:p w14:paraId="14D148D3" w14:textId="77777777" w:rsidR="00573E8C" w:rsidRDefault="00573E8C" w:rsidP="00573E8C">
      <w:pPr>
        <w:spacing w:before="240"/>
      </w:pPr>
      <w:r>
        <w:lastRenderedPageBreak/>
        <w:t xml:space="preserve">The leaflets can be found at:  </w:t>
      </w:r>
      <w:hyperlink r:id="rId15" w:history="1">
        <w:r w:rsidRPr="002230E7">
          <w:rPr>
            <w:rStyle w:val="Hyperlink"/>
          </w:rPr>
          <w:t>https://www.gov.uk/government/organisations/home-office/series/domestic-homicidereview</w:t>
        </w:r>
      </w:hyperlink>
    </w:p>
    <w:p w14:paraId="3BE385AB" w14:textId="77777777" w:rsidR="00D309CC" w:rsidRPr="001C7B04" w:rsidRDefault="00753354" w:rsidP="00965D44">
      <w:pPr>
        <w:spacing w:before="240"/>
        <w:rPr>
          <w:b/>
          <w:u w:val="single"/>
        </w:rPr>
      </w:pPr>
      <w:r w:rsidRPr="001C7B04">
        <w:rPr>
          <w:b/>
          <w:u w:val="single"/>
        </w:rPr>
        <w:t>7</w:t>
      </w:r>
      <w:r w:rsidR="00D309CC" w:rsidRPr="001C7B04">
        <w:rPr>
          <w:b/>
          <w:u w:val="single"/>
        </w:rPr>
        <w:t xml:space="preserve">. </w:t>
      </w:r>
      <w:bookmarkStart w:id="5" w:name="EstablishingADHR"/>
      <w:r w:rsidR="00D309CC" w:rsidRPr="001C7B04">
        <w:rPr>
          <w:b/>
          <w:u w:val="single"/>
        </w:rPr>
        <w:t>E</w:t>
      </w:r>
      <w:r w:rsidR="00994B18" w:rsidRPr="001C7B04">
        <w:rPr>
          <w:b/>
          <w:u w:val="single"/>
        </w:rPr>
        <w:t>STABLISHING A</w:t>
      </w:r>
      <w:r w:rsidR="00D309CC" w:rsidRPr="001C7B04">
        <w:rPr>
          <w:b/>
          <w:u w:val="single"/>
        </w:rPr>
        <w:t xml:space="preserve"> DHR</w:t>
      </w:r>
      <w:bookmarkEnd w:id="5"/>
    </w:p>
    <w:p w14:paraId="228BC1BF" w14:textId="77777777" w:rsidR="001F3298" w:rsidRDefault="005A3ECF" w:rsidP="001F3298">
      <w:pPr>
        <w:spacing w:before="240"/>
        <w:rPr>
          <w:b/>
        </w:rPr>
      </w:pPr>
      <w:r w:rsidRPr="00753354">
        <w:rPr>
          <w:b/>
        </w:rPr>
        <w:t xml:space="preserve">Please refer to the DHR flow chart in </w:t>
      </w:r>
      <w:r w:rsidR="0089017C">
        <w:rPr>
          <w:b/>
        </w:rPr>
        <w:t>section 16.</w:t>
      </w:r>
    </w:p>
    <w:p w14:paraId="669480F2" w14:textId="77777777" w:rsidR="00276FCB" w:rsidRPr="00276FCB" w:rsidRDefault="00276FCB" w:rsidP="001F3298">
      <w:pPr>
        <w:spacing w:before="240"/>
      </w:pPr>
      <w:r>
        <w:t>7.</w:t>
      </w:r>
      <w:r w:rsidR="00C175A2">
        <w:t>1</w:t>
      </w:r>
      <w:r>
        <w:t xml:space="preserve"> </w:t>
      </w:r>
      <w:r w:rsidR="008B023B">
        <w:t>Once a DHR notification form is received a decision panel will be conven</w:t>
      </w:r>
      <w:r w:rsidR="008E7E69">
        <w:t>ed within one month of receipt.</w:t>
      </w:r>
    </w:p>
    <w:p w14:paraId="70A7E4EF" w14:textId="0DA2DF59" w:rsidR="00992A9F" w:rsidRDefault="00753354" w:rsidP="001F3298">
      <w:pPr>
        <w:spacing w:before="240"/>
        <w:rPr>
          <w:rFonts w:eastAsia="Times New Roman" w:cstheme="minorHAnsi"/>
          <w:lang w:eastAsia="en-GB"/>
        </w:rPr>
      </w:pPr>
      <w:r>
        <w:rPr>
          <w:rFonts w:cstheme="minorHAnsi"/>
        </w:rPr>
        <w:t>7</w:t>
      </w:r>
      <w:r w:rsidR="005A3ECF" w:rsidRPr="001F3298">
        <w:rPr>
          <w:rFonts w:cstheme="minorHAnsi"/>
        </w:rPr>
        <w:t xml:space="preserve">.2 </w:t>
      </w:r>
      <w:r w:rsidR="001F3298" w:rsidRPr="001F3298">
        <w:rPr>
          <w:rFonts w:eastAsia="Times New Roman" w:cstheme="minorHAnsi"/>
          <w:lang w:eastAsia="en-GB"/>
        </w:rPr>
        <w:t>Confirmation of a decision to review, as well as a decision not to review a homicide, should be sent in writing to the Home Office DHR enquiries inbox (</w:t>
      </w:r>
      <w:hyperlink r:id="rId16" w:history="1">
        <w:r w:rsidR="001F3298" w:rsidRPr="001F3298">
          <w:rPr>
            <w:rFonts w:eastAsia="Times New Roman" w:cstheme="minorHAnsi"/>
            <w:u w:val="single"/>
            <w:lang w:eastAsia="en-GB"/>
          </w:rPr>
          <w:t>DHRENQUIRIES@homeoffice.gsi.gov.uk</w:t>
        </w:r>
      </w:hyperlink>
      <w:r w:rsidR="008E7E69">
        <w:rPr>
          <w:rFonts w:eastAsia="Times New Roman" w:cstheme="minorHAnsi"/>
          <w:lang w:eastAsia="en-GB"/>
        </w:rPr>
        <w:t xml:space="preserve">). </w:t>
      </w:r>
      <w:r w:rsidR="001F3298" w:rsidRPr="001F3298">
        <w:rPr>
          <w:rFonts w:eastAsia="Times New Roman" w:cstheme="minorHAnsi"/>
          <w:lang w:eastAsia="en-GB"/>
        </w:rPr>
        <w:t xml:space="preserve">This decision will be taken by the Chair of the </w:t>
      </w:r>
      <w:r w:rsidR="003B48A3">
        <w:rPr>
          <w:rFonts w:eastAsia="Times New Roman" w:cstheme="minorHAnsi"/>
          <w:lang w:eastAsia="en-GB"/>
        </w:rPr>
        <w:t>SLP</w:t>
      </w:r>
      <w:r w:rsidR="001F3298" w:rsidRPr="001F3298">
        <w:rPr>
          <w:rFonts w:eastAsia="Times New Roman" w:cstheme="minorHAnsi"/>
          <w:lang w:eastAsia="en-GB"/>
        </w:rPr>
        <w:t xml:space="preserve"> within one month of notification of the homicide. The L</w:t>
      </w:r>
      <w:r w:rsidR="001F3B13">
        <w:rPr>
          <w:rFonts w:eastAsia="Times New Roman" w:cstheme="minorHAnsi"/>
          <w:lang w:eastAsia="en-GB"/>
        </w:rPr>
        <w:t>DA</w:t>
      </w:r>
      <w:r w:rsidR="001F3298" w:rsidRPr="001F3298">
        <w:rPr>
          <w:rFonts w:eastAsia="Times New Roman" w:cstheme="minorHAnsi"/>
          <w:lang w:eastAsia="en-GB"/>
        </w:rPr>
        <w:t xml:space="preserve">P should also inform the </w:t>
      </w:r>
      <w:proofErr w:type="gramStart"/>
      <w:r w:rsidR="001F3298" w:rsidRPr="001F3298">
        <w:rPr>
          <w:rFonts w:eastAsia="Times New Roman" w:cstheme="minorHAnsi"/>
          <w:lang w:eastAsia="en-GB"/>
        </w:rPr>
        <w:t>Coroner</w:t>
      </w:r>
      <w:proofErr w:type="gramEnd"/>
      <w:r w:rsidR="001F3298">
        <w:rPr>
          <w:rFonts w:eastAsia="Times New Roman" w:cstheme="minorHAnsi"/>
          <w:lang w:eastAsia="en-GB"/>
        </w:rPr>
        <w:t xml:space="preserve"> and immediate family </w:t>
      </w:r>
      <w:r w:rsidR="001F3298" w:rsidRPr="001F3298">
        <w:rPr>
          <w:rFonts w:eastAsia="Times New Roman" w:cstheme="minorHAnsi"/>
          <w:lang w:eastAsia="en-GB"/>
        </w:rPr>
        <w:t>of its decision.</w:t>
      </w:r>
    </w:p>
    <w:p w14:paraId="6F8E2D3D" w14:textId="07932FA0" w:rsidR="0016028E" w:rsidRDefault="0016028E" w:rsidP="001F3298">
      <w:pPr>
        <w:spacing w:before="240"/>
        <w:rPr>
          <w:rFonts w:eastAsia="Times New Roman" w:cstheme="minorHAnsi"/>
          <w:lang w:eastAsia="en-GB"/>
        </w:rPr>
      </w:pPr>
      <w:r>
        <w:rPr>
          <w:rFonts w:eastAsia="Times New Roman" w:cstheme="minorHAnsi"/>
          <w:lang w:eastAsia="en-GB"/>
        </w:rPr>
        <w:t xml:space="preserve">7.3 </w:t>
      </w:r>
      <w:r w:rsidR="001F6A38">
        <w:rPr>
          <w:rFonts w:eastAsia="Times New Roman" w:cstheme="minorHAnsi"/>
          <w:lang w:eastAsia="en-GB"/>
        </w:rPr>
        <w:t xml:space="preserve">If </w:t>
      </w:r>
      <w:r w:rsidR="003B48A3">
        <w:rPr>
          <w:rFonts w:eastAsia="Times New Roman" w:cstheme="minorHAnsi"/>
          <w:lang w:eastAsia="en-GB"/>
        </w:rPr>
        <w:t>the</w:t>
      </w:r>
      <w:r w:rsidR="001F6A38">
        <w:rPr>
          <w:rFonts w:eastAsia="Times New Roman" w:cstheme="minorHAnsi"/>
          <w:lang w:eastAsia="en-GB"/>
        </w:rPr>
        <w:t xml:space="preserve"> decision </w:t>
      </w:r>
      <w:r w:rsidR="003B48A3">
        <w:rPr>
          <w:rFonts w:eastAsia="Times New Roman" w:cstheme="minorHAnsi"/>
          <w:lang w:eastAsia="en-GB"/>
        </w:rPr>
        <w:t xml:space="preserve">is </w:t>
      </w:r>
      <w:r w:rsidR="001F6A38">
        <w:rPr>
          <w:rFonts w:eastAsia="Times New Roman" w:cstheme="minorHAnsi"/>
          <w:lang w:eastAsia="en-GB"/>
        </w:rPr>
        <w:t xml:space="preserve">not to </w:t>
      </w:r>
      <w:r w:rsidR="003B48A3">
        <w:rPr>
          <w:rFonts w:eastAsia="Times New Roman" w:cstheme="minorHAnsi"/>
          <w:lang w:eastAsia="en-GB"/>
        </w:rPr>
        <w:t xml:space="preserve">commission a </w:t>
      </w:r>
      <w:r w:rsidR="001F6A38">
        <w:rPr>
          <w:rFonts w:eastAsia="Times New Roman" w:cstheme="minorHAnsi"/>
          <w:lang w:eastAsia="en-GB"/>
        </w:rPr>
        <w:t xml:space="preserve">review </w:t>
      </w:r>
      <w:r w:rsidR="003B48A3">
        <w:rPr>
          <w:rFonts w:eastAsia="Times New Roman" w:cstheme="minorHAnsi"/>
          <w:lang w:eastAsia="en-GB"/>
        </w:rPr>
        <w:t>of the</w:t>
      </w:r>
      <w:r w:rsidR="001F6A38">
        <w:rPr>
          <w:rFonts w:eastAsia="Times New Roman" w:cstheme="minorHAnsi"/>
          <w:lang w:eastAsia="en-GB"/>
        </w:rPr>
        <w:t xml:space="preserve"> </w:t>
      </w:r>
      <w:r w:rsidR="006218BD">
        <w:rPr>
          <w:rFonts w:eastAsia="Times New Roman" w:cstheme="minorHAnsi"/>
          <w:lang w:eastAsia="en-GB"/>
        </w:rPr>
        <w:t xml:space="preserve">homicide however the panel agree that </w:t>
      </w:r>
      <w:r w:rsidR="003B48A3">
        <w:rPr>
          <w:rFonts w:eastAsia="Times New Roman" w:cstheme="minorHAnsi"/>
          <w:lang w:eastAsia="en-GB"/>
        </w:rPr>
        <w:t xml:space="preserve">there is non-statutory </w:t>
      </w:r>
      <w:r w:rsidR="006218BD">
        <w:rPr>
          <w:rFonts w:eastAsia="Times New Roman" w:cstheme="minorHAnsi"/>
          <w:lang w:eastAsia="en-GB"/>
        </w:rPr>
        <w:t xml:space="preserve">learning </w:t>
      </w:r>
      <w:r w:rsidR="003B48A3">
        <w:rPr>
          <w:rFonts w:eastAsia="Times New Roman" w:cstheme="minorHAnsi"/>
          <w:lang w:eastAsia="en-GB"/>
        </w:rPr>
        <w:t>required then</w:t>
      </w:r>
      <w:r w:rsidR="006218BD">
        <w:rPr>
          <w:rFonts w:eastAsia="Times New Roman" w:cstheme="minorHAnsi"/>
          <w:lang w:eastAsia="en-GB"/>
        </w:rPr>
        <w:t xml:space="preserve"> the panel can </w:t>
      </w:r>
      <w:r w:rsidR="003B48A3">
        <w:rPr>
          <w:rFonts w:eastAsia="Times New Roman" w:cstheme="minorHAnsi"/>
          <w:lang w:eastAsia="en-GB"/>
        </w:rPr>
        <w:t xml:space="preserve">refer the case to the DHR Sub- Group to consider </w:t>
      </w:r>
      <w:r w:rsidR="006218BD">
        <w:rPr>
          <w:rFonts w:eastAsia="Times New Roman" w:cstheme="minorHAnsi"/>
          <w:lang w:eastAsia="en-GB"/>
        </w:rPr>
        <w:t>a Domestic Abuse Learning review, see section 8.</w:t>
      </w:r>
    </w:p>
    <w:p w14:paraId="748FD976" w14:textId="547380BE" w:rsidR="001F3298" w:rsidRDefault="00753354" w:rsidP="001F3298">
      <w:pPr>
        <w:spacing w:before="240"/>
        <w:rPr>
          <w:rFonts w:cstheme="minorHAnsi"/>
        </w:rPr>
      </w:pPr>
      <w:r>
        <w:rPr>
          <w:rFonts w:eastAsia="Times New Roman" w:cstheme="minorHAnsi"/>
          <w:lang w:eastAsia="en-GB"/>
        </w:rPr>
        <w:t>7</w:t>
      </w:r>
      <w:r w:rsidR="001F3298">
        <w:rPr>
          <w:rFonts w:eastAsia="Times New Roman" w:cstheme="minorHAnsi"/>
          <w:lang w:eastAsia="en-GB"/>
        </w:rPr>
        <w:t xml:space="preserve">.3 </w:t>
      </w:r>
      <w:r w:rsidR="001F3298" w:rsidRPr="001F3298">
        <w:rPr>
          <w:rFonts w:cstheme="minorHAnsi"/>
        </w:rPr>
        <w:t>The L</w:t>
      </w:r>
      <w:r w:rsidR="001F3B13">
        <w:rPr>
          <w:rFonts w:cstheme="minorHAnsi"/>
        </w:rPr>
        <w:t>DA</w:t>
      </w:r>
      <w:r w:rsidR="001F3298" w:rsidRPr="001F3298">
        <w:rPr>
          <w:rFonts w:cstheme="minorHAnsi"/>
        </w:rPr>
        <w:t xml:space="preserve">P must then </w:t>
      </w:r>
      <w:r w:rsidR="001F3298" w:rsidRPr="001F3298">
        <w:rPr>
          <w:rFonts w:cstheme="minorHAnsi"/>
          <w:bCs/>
        </w:rPr>
        <w:t>establish a Review Panel</w:t>
      </w:r>
      <w:r w:rsidR="001F3298" w:rsidRPr="001F3298">
        <w:rPr>
          <w:rFonts w:cstheme="minorHAnsi"/>
        </w:rPr>
        <w:t xml:space="preserve"> made up of </w:t>
      </w:r>
      <w:r w:rsidR="001F3298">
        <w:rPr>
          <w:rFonts w:cstheme="minorHAnsi"/>
        </w:rPr>
        <w:t>the following standing membership:</w:t>
      </w:r>
    </w:p>
    <w:p w14:paraId="4D968126" w14:textId="02345423" w:rsidR="001F3298" w:rsidRDefault="001F3298" w:rsidP="009F21E6">
      <w:pPr>
        <w:pStyle w:val="ListParagraph"/>
        <w:numPr>
          <w:ilvl w:val="0"/>
          <w:numId w:val="4"/>
        </w:numPr>
        <w:spacing w:before="240"/>
      </w:pPr>
      <w:r>
        <w:t>Chief Officers of Police</w:t>
      </w:r>
      <w:r w:rsidR="00371F9E">
        <w:t xml:space="preserve"> </w:t>
      </w:r>
      <w:r w:rsidR="003B48A3">
        <w:t xml:space="preserve">(in Lincolnshire delegated to </w:t>
      </w:r>
      <w:r w:rsidR="001F0ACA" w:rsidRPr="001F0ACA">
        <w:rPr>
          <w:rStyle w:val="cf01"/>
          <w:rFonts w:asciiTheme="minorHAnsi" w:hAnsiTheme="minorHAnsi" w:cstheme="minorHAnsi"/>
          <w:sz w:val="22"/>
          <w:szCs w:val="22"/>
        </w:rPr>
        <w:t>P</w:t>
      </w:r>
      <w:r w:rsidR="00234FCA">
        <w:rPr>
          <w:rStyle w:val="cf01"/>
          <w:rFonts w:asciiTheme="minorHAnsi" w:hAnsiTheme="minorHAnsi" w:cstheme="minorHAnsi"/>
          <w:sz w:val="22"/>
          <w:szCs w:val="22"/>
        </w:rPr>
        <w:t xml:space="preserve">rotecting </w:t>
      </w:r>
      <w:r w:rsidR="00371F9E" w:rsidRPr="001F0ACA">
        <w:rPr>
          <w:rStyle w:val="cf01"/>
          <w:rFonts w:asciiTheme="minorHAnsi" w:hAnsiTheme="minorHAnsi" w:cstheme="minorHAnsi"/>
          <w:sz w:val="22"/>
          <w:szCs w:val="22"/>
        </w:rPr>
        <w:t>V</w:t>
      </w:r>
      <w:r w:rsidR="00371F9E">
        <w:rPr>
          <w:rStyle w:val="cf01"/>
          <w:rFonts w:asciiTheme="minorHAnsi" w:hAnsiTheme="minorHAnsi" w:cstheme="minorHAnsi"/>
          <w:sz w:val="22"/>
          <w:szCs w:val="22"/>
        </w:rPr>
        <w:t>ulnerable</w:t>
      </w:r>
      <w:r w:rsidR="00234FCA">
        <w:rPr>
          <w:rStyle w:val="cf01"/>
          <w:rFonts w:asciiTheme="minorHAnsi" w:hAnsiTheme="minorHAnsi" w:cstheme="minorHAnsi"/>
          <w:sz w:val="22"/>
          <w:szCs w:val="22"/>
        </w:rPr>
        <w:t xml:space="preserve"> </w:t>
      </w:r>
      <w:r w:rsidR="001F0ACA" w:rsidRPr="001F0ACA">
        <w:rPr>
          <w:rStyle w:val="cf01"/>
          <w:rFonts w:asciiTheme="minorHAnsi" w:hAnsiTheme="minorHAnsi" w:cstheme="minorHAnsi"/>
          <w:sz w:val="22"/>
          <w:szCs w:val="22"/>
        </w:rPr>
        <w:t>P</w:t>
      </w:r>
      <w:r w:rsidR="00234FCA">
        <w:rPr>
          <w:rStyle w:val="cf01"/>
          <w:rFonts w:asciiTheme="minorHAnsi" w:hAnsiTheme="minorHAnsi" w:cstheme="minorHAnsi"/>
          <w:sz w:val="22"/>
          <w:szCs w:val="22"/>
        </w:rPr>
        <w:t>eople</w:t>
      </w:r>
      <w:r w:rsidR="00371F9E">
        <w:rPr>
          <w:rStyle w:val="cf01"/>
          <w:rFonts w:asciiTheme="minorHAnsi" w:hAnsiTheme="minorHAnsi" w:cstheme="minorHAnsi"/>
          <w:sz w:val="22"/>
          <w:szCs w:val="22"/>
        </w:rPr>
        <w:t xml:space="preserve"> [PVP]</w:t>
      </w:r>
      <w:r w:rsidR="001F0ACA" w:rsidRPr="001F0ACA">
        <w:rPr>
          <w:rStyle w:val="cf01"/>
          <w:rFonts w:asciiTheme="minorHAnsi" w:hAnsiTheme="minorHAnsi" w:cstheme="minorHAnsi"/>
          <w:sz w:val="22"/>
          <w:szCs w:val="22"/>
        </w:rPr>
        <w:t xml:space="preserve"> Senior Management</w:t>
      </w:r>
      <w:r w:rsidR="003B48A3">
        <w:t>)</w:t>
      </w:r>
    </w:p>
    <w:p w14:paraId="21E55D42" w14:textId="450B7528" w:rsidR="001F3298" w:rsidRDefault="009C2468" w:rsidP="009F21E6">
      <w:pPr>
        <w:pStyle w:val="ListParagraph"/>
        <w:numPr>
          <w:ilvl w:val="0"/>
          <w:numId w:val="4"/>
        </w:numPr>
        <w:spacing w:before="240"/>
      </w:pPr>
      <w:r>
        <w:t>Local Authorities (Adult Social Care and/or Children's Services/Children’s Health</w:t>
      </w:r>
      <w:r w:rsidR="00C42B12">
        <w:t xml:space="preserve">, </w:t>
      </w:r>
      <w:r w:rsidR="001F3298">
        <w:t>Borough, District, Unitary and County Councils)</w:t>
      </w:r>
    </w:p>
    <w:p w14:paraId="7E5D76B1" w14:textId="77777777" w:rsidR="001F2F89" w:rsidRDefault="001F2F89" w:rsidP="009F21E6">
      <w:pPr>
        <w:pStyle w:val="ListParagraph"/>
        <w:numPr>
          <w:ilvl w:val="0"/>
          <w:numId w:val="4"/>
        </w:numPr>
        <w:spacing w:before="240"/>
      </w:pPr>
      <w:r>
        <w:t xml:space="preserve">NHS Integrated Care Board </w:t>
      </w:r>
    </w:p>
    <w:p w14:paraId="2381A80C" w14:textId="4D101E0B" w:rsidR="001F3298" w:rsidRDefault="001F3298" w:rsidP="009F21E6">
      <w:pPr>
        <w:pStyle w:val="ListParagraph"/>
        <w:numPr>
          <w:ilvl w:val="0"/>
          <w:numId w:val="4"/>
        </w:numPr>
        <w:spacing w:before="240"/>
      </w:pPr>
      <w:r>
        <w:t>Providers of Probation Services</w:t>
      </w:r>
    </w:p>
    <w:p w14:paraId="40189014" w14:textId="77777777" w:rsidR="001F3298" w:rsidRDefault="001F3298" w:rsidP="009F21E6">
      <w:pPr>
        <w:pStyle w:val="ListParagraph"/>
        <w:numPr>
          <w:ilvl w:val="0"/>
          <w:numId w:val="4"/>
        </w:numPr>
        <w:spacing w:before="240"/>
      </w:pPr>
      <w:r>
        <w:t>NHS trusts</w:t>
      </w:r>
    </w:p>
    <w:p w14:paraId="095C2031" w14:textId="047125DA" w:rsidR="001F3298" w:rsidRDefault="00297C7D" w:rsidP="009F21E6">
      <w:pPr>
        <w:pStyle w:val="ListParagraph"/>
        <w:numPr>
          <w:ilvl w:val="0"/>
          <w:numId w:val="4"/>
        </w:numPr>
        <w:spacing w:before="240"/>
      </w:pPr>
      <w:r>
        <w:t>LDAP DA Business Manager</w:t>
      </w:r>
      <w:r w:rsidR="003B48A3">
        <w:t xml:space="preserve"> –as an adviser to the Panel</w:t>
      </w:r>
    </w:p>
    <w:p w14:paraId="216395A9" w14:textId="79295906" w:rsidR="003B48A3" w:rsidRDefault="003B48A3" w:rsidP="009F21E6">
      <w:pPr>
        <w:pStyle w:val="ListParagraph"/>
        <w:numPr>
          <w:ilvl w:val="0"/>
          <w:numId w:val="4"/>
        </w:numPr>
        <w:spacing w:before="240"/>
      </w:pPr>
      <w:r>
        <w:t>Legal Advisor – as an adviser to the Panel</w:t>
      </w:r>
    </w:p>
    <w:p w14:paraId="2E4BB1DF" w14:textId="5DA9175F" w:rsidR="001F3298" w:rsidRDefault="001F3298" w:rsidP="009F21E6">
      <w:pPr>
        <w:pStyle w:val="ListParagraph"/>
        <w:numPr>
          <w:ilvl w:val="0"/>
          <w:numId w:val="4"/>
        </w:numPr>
        <w:spacing w:before="240"/>
      </w:pPr>
      <w:r>
        <w:t>Representation from sp</w:t>
      </w:r>
      <w:r w:rsidR="008E7E69">
        <w:t>ecialist domestic abuse service</w:t>
      </w:r>
    </w:p>
    <w:p w14:paraId="3AF2861B" w14:textId="477915F4" w:rsidR="005A10F9" w:rsidRDefault="005A10F9" w:rsidP="009F21E6">
      <w:pPr>
        <w:pStyle w:val="ListParagraph"/>
        <w:numPr>
          <w:ilvl w:val="0"/>
          <w:numId w:val="4"/>
        </w:numPr>
        <w:spacing w:before="240"/>
      </w:pPr>
      <w:r>
        <w:t>Independent Author/Chair</w:t>
      </w:r>
    </w:p>
    <w:p w14:paraId="28F38916" w14:textId="732984CF" w:rsidR="001F3298" w:rsidRDefault="00753354" w:rsidP="00F61209">
      <w:pPr>
        <w:spacing w:after="0"/>
      </w:pPr>
      <w:r>
        <w:t>7</w:t>
      </w:r>
      <w:r w:rsidR="001F3298">
        <w:t>.4 Based on the scoping exercise completed prior to the decision panel the DHR panel may require</w:t>
      </w:r>
      <w:r w:rsidR="00F61209">
        <w:t xml:space="preserve"> </w:t>
      </w:r>
      <w:r w:rsidR="001F3298">
        <w:t>additional persons/bodie</w:t>
      </w:r>
      <w:r w:rsidR="002778D6">
        <w:t>s to be a member of the panel. This may include agencies/bodies from another local authority area.</w:t>
      </w:r>
      <w:r w:rsidR="003B48A3">
        <w:t xml:space="preserve"> The Panel will consider at the outset and throughout the review the need for additional specific expertise to assist the Panel.</w:t>
      </w:r>
    </w:p>
    <w:p w14:paraId="21DED900" w14:textId="77777777" w:rsidR="00F61209" w:rsidRDefault="00F61209" w:rsidP="00F61209">
      <w:pPr>
        <w:spacing w:after="0"/>
      </w:pPr>
    </w:p>
    <w:p w14:paraId="7D379DD4" w14:textId="14658281" w:rsidR="001F3298" w:rsidRDefault="00753354" w:rsidP="00CB22D6">
      <w:pPr>
        <w:spacing w:after="0"/>
        <w:ind w:right="240"/>
        <w:rPr>
          <w:rFonts w:eastAsia="Times New Roman" w:cstheme="minorHAnsi"/>
          <w:bCs/>
          <w:lang w:eastAsia="en-GB"/>
        </w:rPr>
      </w:pPr>
      <w:r>
        <w:rPr>
          <w:rFonts w:eastAsia="Times New Roman" w:cstheme="minorHAnsi"/>
          <w:bCs/>
          <w:lang w:eastAsia="en-GB"/>
        </w:rPr>
        <w:t>7</w:t>
      </w:r>
      <w:r w:rsidR="00F61209">
        <w:rPr>
          <w:rFonts w:eastAsia="Times New Roman" w:cstheme="minorHAnsi"/>
          <w:bCs/>
          <w:lang w:eastAsia="en-GB"/>
        </w:rPr>
        <w:t xml:space="preserve">.5 </w:t>
      </w:r>
      <w:r w:rsidR="001F3298" w:rsidRPr="001F3298">
        <w:rPr>
          <w:rFonts w:eastAsia="Times New Roman" w:cstheme="minorHAnsi"/>
          <w:bCs/>
          <w:lang w:eastAsia="en-GB"/>
        </w:rPr>
        <w:t>The Review Panel must appoint an independent Chair</w:t>
      </w:r>
      <w:r w:rsidR="003E5A49">
        <w:rPr>
          <w:rFonts w:eastAsia="Times New Roman" w:cstheme="minorHAnsi"/>
          <w:bCs/>
          <w:lang w:eastAsia="en-GB"/>
        </w:rPr>
        <w:t>/and or Author</w:t>
      </w:r>
      <w:r w:rsidR="001F3298" w:rsidRPr="001F3298">
        <w:rPr>
          <w:rFonts w:eastAsia="Times New Roman" w:cstheme="minorHAnsi"/>
          <w:bCs/>
          <w:lang w:eastAsia="en-GB"/>
        </w:rPr>
        <w:t xml:space="preserve"> in line with the </w:t>
      </w:r>
      <w:r w:rsidR="00F61209">
        <w:rPr>
          <w:rFonts w:eastAsia="Times New Roman" w:cstheme="minorHAnsi"/>
          <w:bCs/>
          <w:lang w:eastAsia="en-GB"/>
        </w:rPr>
        <w:t>section regarding</w:t>
      </w:r>
      <w:r w:rsidR="008E7E69">
        <w:rPr>
          <w:rFonts w:eastAsia="Times New Roman" w:cstheme="minorHAnsi"/>
          <w:bCs/>
          <w:lang w:eastAsia="en-GB"/>
        </w:rPr>
        <w:t xml:space="preserve"> a</w:t>
      </w:r>
      <w:r w:rsidR="001F3298" w:rsidRPr="001F3298">
        <w:rPr>
          <w:rFonts w:eastAsia="Times New Roman" w:cstheme="minorHAnsi"/>
          <w:bCs/>
          <w:lang w:eastAsia="en-GB"/>
        </w:rPr>
        <w:t xml:space="preserve">ppointing a Chair of the Review Panel in the Home Office DHR </w:t>
      </w:r>
      <w:hyperlink r:id="rId17" w:history="1">
        <w:r w:rsidR="001F3298" w:rsidRPr="001F3298">
          <w:rPr>
            <w:rFonts w:eastAsia="Times New Roman" w:cstheme="minorHAnsi"/>
            <w:bCs/>
            <w:color w:val="0000FF"/>
            <w:u w:val="single"/>
            <w:lang w:eastAsia="en-GB"/>
          </w:rPr>
          <w:t>Guidance</w:t>
        </w:r>
      </w:hyperlink>
      <w:r w:rsidR="001F3298" w:rsidRPr="001F3298">
        <w:rPr>
          <w:rFonts w:eastAsia="Times New Roman" w:cstheme="minorHAnsi"/>
          <w:bCs/>
          <w:lang w:eastAsia="en-GB"/>
        </w:rPr>
        <w:t xml:space="preserve"> </w:t>
      </w:r>
      <w:r w:rsidR="008E7E69">
        <w:rPr>
          <w:rFonts w:eastAsia="Times New Roman" w:cstheme="minorHAnsi"/>
          <w:lang w:eastAsia="en-GB"/>
        </w:rPr>
        <w:t xml:space="preserve">i.e. where possible, </w:t>
      </w:r>
      <w:r w:rsidR="00F61209">
        <w:rPr>
          <w:rFonts w:eastAsia="Times New Roman" w:cstheme="minorHAnsi"/>
          <w:lang w:eastAsia="en-GB"/>
        </w:rPr>
        <w:t>s</w:t>
      </w:r>
      <w:r w:rsidR="001F3298" w:rsidRPr="001F3298">
        <w:rPr>
          <w:rFonts w:eastAsia="Times New Roman" w:cstheme="minorHAnsi"/>
          <w:lang w:eastAsia="en-GB"/>
        </w:rPr>
        <w:t>omeone with the necessary skills and experience regarding domestic abuse and who is not</w:t>
      </w:r>
      <w:r w:rsidR="00F61209">
        <w:rPr>
          <w:rFonts w:eastAsia="Times New Roman" w:cstheme="minorHAnsi"/>
          <w:lang w:eastAsia="en-GB"/>
        </w:rPr>
        <w:t xml:space="preserve"> a </w:t>
      </w:r>
      <w:r w:rsidR="001F3298" w:rsidRPr="001F3298">
        <w:rPr>
          <w:rFonts w:eastAsia="Times New Roman" w:cstheme="minorHAnsi"/>
          <w:lang w:eastAsia="en-GB"/>
        </w:rPr>
        <w:t>member of the L</w:t>
      </w:r>
      <w:r w:rsidR="001F3B13">
        <w:rPr>
          <w:rFonts w:eastAsia="Times New Roman" w:cstheme="minorHAnsi"/>
          <w:lang w:eastAsia="en-GB"/>
        </w:rPr>
        <w:t>DA</w:t>
      </w:r>
      <w:r w:rsidR="001F3298" w:rsidRPr="001F3298">
        <w:rPr>
          <w:rFonts w:eastAsia="Times New Roman" w:cstheme="minorHAnsi"/>
          <w:lang w:eastAsia="en-GB"/>
        </w:rPr>
        <w:t>P.</w:t>
      </w:r>
      <w:r w:rsidR="001F3298" w:rsidRPr="001F3298">
        <w:rPr>
          <w:rFonts w:eastAsia="Times New Roman" w:cstheme="minorHAnsi"/>
          <w:bCs/>
          <w:lang w:eastAsia="en-GB"/>
        </w:rPr>
        <w:t xml:space="preserve"> This person will also pull together all evidence and write the Overview Report</w:t>
      </w:r>
      <w:r w:rsidR="001F2F89">
        <w:rPr>
          <w:rFonts w:eastAsia="Times New Roman" w:cstheme="minorHAnsi"/>
          <w:bCs/>
          <w:lang w:eastAsia="en-GB"/>
        </w:rPr>
        <w:t>,</w:t>
      </w:r>
      <w:r w:rsidR="001F3298" w:rsidRPr="001F3298">
        <w:rPr>
          <w:rFonts w:eastAsia="Times New Roman" w:cstheme="minorHAnsi"/>
          <w:bCs/>
          <w:lang w:eastAsia="en-GB"/>
        </w:rPr>
        <w:t xml:space="preserve"> Executive </w:t>
      </w:r>
      <w:proofErr w:type="gramStart"/>
      <w:r w:rsidR="001F3298" w:rsidRPr="001F3298">
        <w:rPr>
          <w:rFonts w:eastAsia="Times New Roman" w:cstheme="minorHAnsi"/>
          <w:bCs/>
          <w:lang w:eastAsia="en-GB"/>
        </w:rPr>
        <w:t>Summary</w:t>
      </w:r>
      <w:proofErr w:type="gramEnd"/>
      <w:r w:rsidR="001F2F89">
        <w:rPr>
          <w:rFonts w:eastAsia="Times New Roman" w:cstheme="minorHAnsi"/>
          <w:bCs/>
          <w:lang w:eastAsia="en-GB"/>
        </w:rPr>
        <w:t xml:space="preserve"> and a Learning paper</w:t>
      </w:r>
      <w:r w:rsidR="001F3298" w:rsidRPr="001F3298">
        <w:rPr>
          <w:rFonts w:eastAsia="Times New Roman" w:cstheme="minorHAnsi"/>
          <w:bCs/>
          <w:lang w:eastAsia="en-GB"/>
        </w:rPr>
        <w:t>, under the</w:t>
      </w:r>
      <w:r w:rsidR="00CB22D6">
        <w:rPr>
          <w:rFonts w:eastAsia="Times New Roman" w:cstheme="minorHAnsi"/>
          <w:bCs/>
          <w:lang w:eastAsia="en-GB"/>
        </w:rPr>
        <w:t xml:space="preserve"> direction of the Review Panel.</w:t>
      </w:r>
    </w:p>
    <w:p w14:paraId="59AEBD22" w14:textId="77777777" w:rsidR="00F61209" w:rsidRPr="001F3298" w:rsidRDefault="00F61209" w:rsidP="00F61209">
      <w:pPr>
        <w:spacing w:after="0"/>
        <w:ind w:left="709" w:right="240" w:hanging="709"/>
        <w:rPr>
          <w:rFonts w:eastAsia="Times New Roman" w:cstheme="minorHAnsi"/>
          <w:bCs/>
          <w:lang w:eastAsia="en-GB"/>
        </w:rPr>
      </w:pPr>
    </w:p>
    <w:p w14:paraId="1F9AA994" w14:textId="5058F66E" w:rsidR="001F3298" w:rsidRDefault="00753354" w:rsidP="00CB22D6">
      <w:pPr>
        <w:spacing w:after="0"/>
        <w:ind w:right="240"/>
        <w:rPr>
          <w:rFonts w:eastAsia="Times New Roman" w:cstheme="minorHAnsi"/>
          <w:bCs/>
          <w:lang w:eastAsia="en-GB"/>
        </w:rPr>
      </w:pPr>
      <w:r>
        <w:rPr>
          <w:rFonts w:eastAsia="Times New Roman" w:cstheme="minorHAnsi"/>
          <w:bCs/>
          <w:lang w:eastAsia="en-GB"/>
        </w:rPr>
        <w:t>7</w:t>
      </w:r>
      <w:r w:rsidR="00F61209">
        <w:rPr>
          <w:rFonts w:eastAsia="Times New Roman" w:cstheme="minorHAnsi"/>
          <w:bCs/>
          <w:lang w:eastAsia="en-GB"/>
        </w:rPr>
        <w:t xml:space="preserve">.6 </w:t>
      </w:r>
      <w:r w:rsidR="001F3298" w:rsidRPr="001F3298">
        <w:rPr>
          <w:rFonts w:eastAsia="Times New Roman" w:cstheme="minorHAnsi"/>
          <w:bCs/>
          <w:lang w:eastAsia="en-GB"/>
        </w:rPr>
        <w:t xml:space="preserve">The review panel should meet an appropriate number of times to ensure there is a robust oversight and rigorous challenge to the information shared. For example, a review panel that only </w:t>
      </w:r>
      <w:r w:rsidR="001F3298" w:rsidRPr="001F3298">
        <w:rPr>
          <w:rFonts w:eastAsia="Times New Roman" w:cstheme="minorHAnsi"/>
          <w:bCs/>
          <w:lang w:eastAsia="en-GB"/>
        </w:rPr>
        <w:lastRenderedPageBreak/>
        <w:t>met at the beginning and end of the review would imply a limited and arguably ineffective role in the DHR process.</w:t>
      </w:r>
      <w:r w:rsidR="003E5A49">
        <w:rPr>
          <w:rFonts w:eastAsia="Times New Roman" w:cstheme="minorHAnsi"/>
          <w:bCs/>
          <w:lang w:eastAsia="en-GB"/>
        </w:rPr>
        <w:t xml:space="preserve"> Some key meetings will be conducted in person only.</w:t>
      </w:r>
    </w:p>
    <w:p w14:paraId="0B685FA5" w14:textId="77777777" w:rsidR="00F61209" w:rsidRPr="001F3298" w:rsidRDefault="00F61209" w:rsidP="00F61209">
      <w:pPr>
        <w:spacing w:after="0"/>
        <w:ind w:left="709" w:right="240" w:hanging="709"/>
        <w:rPr>
          <w:rFonts w:eastAsia="Times New Roman" w:cstheme="minorHAnsi"/>
          <w:bCs/>
          <w:lang w:eastAsia="en-GB"/>
        </w:rPr>
      </w:pPr>
    </w:p>
    <w:p w14:paraId="3E29FE5B" w14:textId="77777777" w:rsidR="001F3298" w:rsidRPr="001F3298" w:rsidRDefault="00753354" w:rsidP="00CB22D6">
      <w:pPr>
        <w:spacing w:after="0"/>
        <w:ind w:right="240"/>
        <w:rPr>
          <w:rFonts w:eastAsia="Times New Roman" w:cstheme="minorHAnsi"/>
          <w:bCs/>
          <w:lang w:eastAsia="en-GB"/>
        </w:rPr>
      </w:pPr>
      <w:r>
        <w:rPr>
          <w:rFonts w:eastAsia="Times New Roman" w:cstheme="minorHAnsi"/>
          <w:bCs/>
          <w:lang w:eastAsia="en-GB"/>
        </w:rPr>
        <w:t>7</w:t>
      </w:r>
      <w:r w:rsidR="00F61209">
        <w:rPr>
          <w:rFonts w:eastAsia="Times New Roman" w:cstheme="minorHAnsi"/>
          <w:bCs/>
          <w:lang w:eastAsia="en-GB"/>
        </w:rPr>
        <w:t xml:space="preserve">.7 </w:t>
      </w:r>
      <w:r w:rsidR="001F3298" w:rsidRPr="001F3298">
        <w:rPr>
          <w:rFonts w:eastAsia="Times New Roman" w:cstheme="minorHAnsi"/>
          <w:bCs/>
          <w:lang w:eastAsia="en-GB"/>
        </w:rPr>
        <w:t>The deadlines set by the panel should be kept to by all agencies involved, so all elements of the review can be completed in a timely fashion.</w:t>
      </w:r>
    </w:p>
    <w:p w14:paraId="087123B8" w14:textId="5EE9A06B" w:rsidR="003A7600" w:rsidRDefault="00753354" w:rsidP="00DA62F7">
      <w:pPr>
        <w:spacing w:before="240"/>
        <w:rPr>
          <w:rFonts w:eastAsia="Times New Roman" w:cstheme="minorHAnsi"/>
          <w:bCs/>
          <w:lang w:eastAsia="en-GB"/>
        </w:rPr>
      </w:pPr>
      <w:r>
        <w:rPr>
          <w:rFonts w:eastAsia="Times New Roman" w:cstheme="minorHAnsi"/>
          <w:bCs/>
          <w:lang w:eastAsia="en-GB"/>
        </w:rPr>
        <w:t>7</w:t>
      </w:r>
      <w:r w:rsidR="00F61209">
        <w:rPr>
          <w:rFonts w:eastAsia="Times New Roman" w:cstheme="minorHAnsi"/>
          <w:bCs/>
          <w:lang w:eastAsia="en-GB"/>
        </w:rPr>
        <w:t xml:space="preserve">.8 </w:t>
      </w:r>
      <w:r w:rsidR="001F3298" w:rsidRPr="001F3298">
        <w:rPr>
          <w:rFonts w:eastAsia="Times New Roman" w:cstheme="minorHAnsi"/>
          <w:bCs/>
          <w:lang w:eastAsia="en-GB"/>
        </w:rPr>
        <w:t>Finally on completion of a DHR the panel will review the process to see if any amendments are required to the DHR protocol</w:t>
      </w:r>
      <w:r w:rsidR="003E5A49">
        <w:rPr>
          <w:rFonts w:eastAsia="Times New Roman" w:cstheme="minorHAnsi"/>
          <w:bCs/>
          <w:lang w:eastAsia="en-GB"/>
        </w:rPr>
        <w:t>.</w:t>
      </w:r>
    </w:p>
    <w:p w14:paraId="313F3F8D" w14:textId="7D3B91D3" w:rsidR="00DA62F7" w:rsidRDefault="009E5FB4" w:rsidP="00DA62F7">
      <w:pPr>
        <w:spacing w:before="240"/>
        <w:rPr>
          <w:rFonts w:eastAsia="Times New Roman" w:cstheme="minorHAnsi"/>
          <w:b/>
          <w:bCs/>
          <w:u w:val="single"/>
          <w:lang w:eastAsia="en-GB"/>
        </w:rPr>
      </w:pPr>
      <w:r>
        <w:rPr>
          <w:rFonts w:eastAsia="Times New Roman" w:cstheme="minorHAnsi"/>
          <w:b/>
          <w:bCs/>
          <w:u w:val="single"/>
          <w:lang w:eastAsia="en-GB"/>
        </w:rPr>
        <w:t>8</w:t>
      </w:r>
      <w:r w:rsidR="00DA62F7">
        <w:rPr>
          <w:rFonts w:eastAsia="Times New Roman" w:cstheme="minorHAnsi"/>
          <w:b/>
          <w:bCs/>
          <w:u w:val="single"/>
          <w:lang w:eastAsia="en-GB"/>
        </w:rPr>
        <w:t xml:space="preserve">. </w:t>
      </w:r>
      <w:bookmarkStart w:id="6" w:name="CrossBorderAndOutOfCountyDHRs"/>
      <w:r w:rsidR="00DA62F7">
        <w:rPr>
          <w:rFonts w:eastAsia="Times New Roman" w:cstheme="minorHAnsi"/>
          <w:b/>
          <w:bCs/>
          <w:u w:val="single"/>
          <w:lang w:eastAsia="en-GB"/>
        </w:rPr>
        <w:t>CROSS BORDER AND OUT OF COUNTY DHR'S</w:t>
      </w:r>
      <w:bookmarkEnd w:id="6"/>
    </w:p>
    <w:p w14:paraId="7F70376F" w14:textId="154A3216" w:rsidR="003A7600" w:rsidRDefault="009E5FB4" w:rsidP="001F2F89">
      <w:pPr>
        <w:spacing w:after="0"/>
        <w:rPr>
          <w:rFonts w:eastAsia="Times New Roman" w:cstheme="minorHAnsi"/>
          <w:bCs/>
          <w:lang w:eastAsia="en-GB"/>
        </w:rPr>
      </w:pPr>
      <w:r>
        <w:rPr>
          <w:rFonts w:eastAsia="Times New Roman" w:cstheme="minorHAnsi"/>
          <w:bCs/>
          <w:lang w:eastAsia="en-GB"/>
        </w:rPr>
        <w:t>8</w:t>
      </w:r>
      <w:r w:rsidR="00DA62F7" w:rsidRPr="001F2F89">
        <w:rPr>
          <w:rFonts w:eastAsia="Times New Roman" w:cstheme="minorHAnsi"/>
          <w:bCs/>
          <w:lang w:eastAsia="en-GB"/>
        </w:rPr>
        <w:t xml:space="preserve">.1 </w:t>
      </w:r>
      <w:r w:rsidR="006A785F" w:rsidRPr="001F2F89">
        <w:rPr>
          <w:rFonts w:eastAsia="Times New Roman" w:cstheme="minorHAnsi"/>
          <w:bCs/>
          <w:lang w:eastAsia="en-GB"/>
        </w:rPr>
        <w:t xml:space="preserve">Where more than one local authority </w:t>
      </w:r>
      <w:proofErr w:type="gramStart"/>
      <w:r w:rsidR="006A785F" w:rsidRPr="001F2F89">
        <w:rPr>
          <w:rFonts w:eastAsia="Times New Roman" w:cstheme="minorHAnsi"/>
          <w:bCs/>
          <w:lang w:eastAsia="en-GB"/>
        </w:rPr>
        <w:t>have</w:t>
      </w:r>
      <w:proofErr w:type="gramEnd"/>
      <w:r w:rsidR="006A785F" w:rsidRPr="001F2F89">
        <w:rPr>
          <w:rFonts w:eastAsia="Times New Roman" w:cstheme="minorHAnsi"/>
          <w:bCs/>
          <w:lang w:eastAsia="en-GB"/>
        </w:rPr>
        <w:t xml:space="preserve"> known about or had contact with the victim, the review will be conducted by the area where the victim normally lives, which could result in cross border and out of County DHRs.</w:t>
      </w:r>
      <w:r w:rsidR="00B315D1" w:rsidRPr="001F2F89">
        <w:rPr>
          <w:rFonts w:eastAsia="Times New Roman" w:cstheme="minorHAnsi"/>
          <w:bCs/>
          <w:lang w:eastAsia="en-GB"/>
        </w:rPr>
        <w:t xml:space="preserve"> </w:t>
      </w:r>
    </w:p>
    <w:p w14:paraId="17094929" w14:textId="77777777" w:rsidR="001F2F89" w:rsidRPr="001F2F89" w:rsidRDefault="001F2F89" w:rsidP="001F2F89">
      <w:pPr>
        <w:spacing w:after="0"/>
        <w:rPr>
          <w:rFonts w:eastAsia="Times New Roman" w:cstheme="minorHAnsi"/>
          <w:bCs/>
          <w:lang w:eastAsia="en-GB"/>
        </w:rPr>
      </w:pPr>
    </w:p>
    <w:p w14:paraId="0E5482D4" w14:textId="1D8BDFE7" w:rsidR="001F2F89" w:rsidRDefault="009E5FB4" w:rsidP="001F2F89">
      <w:pPr>
        <w:spacing w:after="0"/>
        <w:rPr>
          <w:rFonts w:eastAsia="Times New Roman" w:cstheme="minorHAnsi"/>
          <w:bCs/>
          <w:lang w:eastAsia="en-GB"/>
        </w:rPr>
      </w:pPr>
      <w:r>
        <w:rPr>
          <w:rFonts w:eastAsia="Times New Roman" w:cstheme="minorHAnsi"/>
          <w:bCs/>
          <w:lang w:eastAsia="en-GB"/>
        </w:rPr>
        <w:t>8</w:t>
      </w:r>
      <w:r w:rsidR="001F2F89">
        <w:rPr>
          <w:rFonts w:eastAsia="Times New Roman" w:cstheme="minorHAnsi"/>
          <w:bCs/>
          <w:lang w:eastAsia="en-GB"/>
        </w:rPr>
        <w:t xml:space="preserve">.2 </w:t>
      </w:r>
      <w:r w:rsidR="006A785F" w:rsidRPr="001F2F89">
        <w:rPr>
          <w:rFonts w:eastAsia="Times New Roman" w:cstheme="minorHAnsi"/>
          <w:bCs/>
          <w:lang w:eastAsia="en-GB"/>
        </w:rPr>
        <w:t xml:space="preserve">In these circumstances, if the normal area for living </w:t>
      </w:r>
      <w:r w:rsidR="00192409" w:rsidRPr="001F2F89">
        <w:rPr>
          <w:rFonts w:eastAsia="Times New Roman" w:cstheme="minorHAnsi"/>
          <w:bCs/>
          <w:lang w:eastAsia="en-GB"/>
        </w:rPr>
        <w:t>was</w:t>
      </w:r>
      <w:r w:rsidR="006A785F" w:rsidRPr="001F2F89">
        <w:rPr>
          <w:rFonts w:eastAsia="Times New Roman" w:cstheme="minorHAnsi"/>
          <w:bCs/>
          <w:lang w:eastAsia="en-GB"/>
        </w:rPr>
        <w:t xml:space="preserve"> Lincolnshire, we will conduct the DHR and invite the other counties agencies as panel members</w:t>
      </w:r>
      <w:r w:rsidR="00192409" w:rsidRPr="001F2F89">
        <w:rPr>
          <w:rFonts w:eastAsia="Times New Roman" w:cstheme="minorHAnsi"/>
          <w:bCs/>
          <w:lang w:eastAsia="en-GB"/>
        </w:rPr>
        <w:t>.</w:t>
      </w:r>
    </w:p>
    <w:p w14:paraId="275D9E3A" w14:textId="77777777" w:rsidR="001F2F89" w:rsidRDefault="001F2F89" w:rsidP="001F2F89">
      <w:pPr>
        <w:spacing w:after="0"/>
        <w:rPr>
          <w:rFonts w:eastAsia="Times New Roman" w:cstheme="minorHAnsi"/>
          <w:bCs/>
          <w:lang w:eastAsia="en-GB"/>
        </w:rPr>
      </w:pPr>
    </w:p>
    <w:p w14:paraId="5FA04CBE" w14:textId="5D0047BC" w:rsidR="001F2F89" w:rsidRDefault="009E5FB4" w:rsidP="001F2F89">
      <w:pPr>
        <w:spacing w:after="0"/>
        <w:rPr>
          <w:rFonts w:eastAsia="Times New Roman" w:cstheme="minorHAnsi"/>
          <w:bCs/>
          <w:lang w:eastAsia="en-GB"/>
        </w:rPr>
      </w:pPr>
      <w:r>
        <w:rPr>
          <w:rFonts w:eastAsia="Times New Roman" w:cstheme="minorHAnsi"/>
          <w:bCs/>
          <w:lang w:eastAsia="en-GB"/>
        </w:rPr>
        <w:t>8</w:t>
      </w:r>
      <w:r w:rsidR="001F2F89">
        <w:rPr>
          <w:rFonts w:eastAsia="Times New Roman" w:cstheme="minorHAnsi"/>
          <w:bCs/>
          <w:lang w:eastAsia="en-GB"/>
        </w:rPr>
        <w:t xml:space="preserve">.3 </w:t>
      </w:r>
      <w:r w:rsidR="00192409" w:rsidRPr="001F2F89">
        <w:rPr>
          <w:rFonts w:eastAsia="Times New Roman" w:cstheme="minorHAnsi"/>
          <w:bCs/>
          <w:lang w:eastAsia="en-GB"/>
        </w:rPr>
        <w:t>I</w:t>
      </w:r>
      <w:r w:rsidR="006A785F" w:rsidRPr="001F2F89">
        <w:rPr>
          <w:rFonts w:eastAsia="Times New Roman" w:cstheme="minorHAnsi"/>
          <w:bCs/>
          <w:lang w:eastAsia="en-GB"/>
        </w:rPr>
        <w:t xml:space="preserve">f the victim normally lived in the other </w:t>
      </w:r>
      <w:r w:rsidR="00B315D1" w:rsidRPr="001F2F89">
        <w:rPr>
          <w:rFonts w:eastAsia="Times New Roman" w:cstheme="minorHAnsi"/>
          <w:bCs/>
          <w:lang w:eastAsia="en-GB"/>
        </w:rPr>
        <w:t>county,</w:t>
      </w:r>
      <w:r w:rsidR="006A785F" w:rsidRPr="001F2F89">
        <w:rPr>
          <w:rFonts w:eastAsia="Times New Roman" w:cstheme="minorHAnsi"/>
          <w:bCs/>
          <w:lang w:eastAsia="en-GB"/>
        </w:rPr>
        <w:t xml:space="preserve"> we </w:t>
      </w:r>
      <w:proofErr w:type="gramStart"/>
      <w:r w:rsidR="006A785F" w:rsidRPr="001F2F89">
        <w:rPr>
          <w:rFonts w:eastAsia="Times New Roman" w:cstheme="minorHAnsi"/>
          <w:bCs/>
          <w:lang w:eastAsia="en-GB"/>
        </w:rPr>
        <w:t>will</w:t>
      </w:r>
      <w:proofErr w:type="gramEnd"/>
      <w:r w:rsidR="006A785F" w:rsidRPr="001F2F89">
        <w:rPr>
          <w:rFonts w:eastAsia="Times New Roman" w:cstheme="minorHAnsi"/>
          <w:bCs/>
          <w:lang w:eastAsia="en-GB"/>
        </w:rPr>
        <w:t xml:space="preserve"> pass information to them to </w:t>
      </w:r>
      <w:r w:rsidR="00DB391E">
        <w:rPr>
          <w:rFonts w:eastAsia="Times New Roman" w:cstheme="minorHAnsi"/>
          <w:bCs/>
          <w:lang w:eastAsia="en-GB"/>
        </w:rPr>
        <w:t>lead on</w:t>
      </w:r>
      <w:r w:rsidR="00DB391E" w:rsidRPr="001F2F89">
        <w:rPr>
          <w:rFonts w:eastAsia="Times New Roman" w:cstheme="minorHAnsi"/>
          <w:bCs/>
          <w:lang w:eastAsia="en-GB"/>
        </w:rPr>
        <w:t xml:space="preserve"> </w:t>
      </w:r>
      <w:r w:rsidR="006A785F" w:rsidRPr="001F2F89">
        <w:rPr>
          <w:rFonts w:eastAsia="Times New Roman" w:cstheme="minorHAnsi"/>
          <w:bCs/>
          <w:lang w:eastAsia="en-GB"/>
        </w:rPr>
        <w:t xml:space="preserve">the DHR and involved agencies will liaise with them </w:t>
      </w:r>
      <w:r w:rsidR="00192409" w:rsidRPr="001F2F89">
        <w:rPr>
          <w:rFonts w:eastAsia="Times New Roman" w:cstheme="minorHAnsi"/>
          <w:bCs/>
          <w:lang w:eastAsia="en-GB"/>
        </w:rPr>
        <w:t>as panel</w:t>
      </w:r>
      <w:r w:rsidR="006A785F" w:rsidRPr="001F2F89">
        <w:rPr>
          <w:rFonts w:eastAsia="Times New Roman" w:cstheme="minorHAnsi"/>
          <w:bCs/>
          <w:lang w:eastAsia="en-GB"/>
        </w:rPr>
        <w:t xml:space="preserve"> members</w:t>
      </w:r>
      <w:r w:rsidR="00B235CB">
        <w:rPr>
          <w:rFonts w:eastAsia="Times New Roman" w:cstheme="minorHAnsi"/>
          <w:bCs/>
          <w:lang w:eastAsia="en-GB"/>
        </w:rPr>
        <w:t xml:space="preserve">, while factoring in item </w:t>
      </w:r>
      <w:r w:rsidR="00AC3886">
        <w:rPr>
          <w:rFonts w:eastAsia="Times New Roman" w:cstheme="minorHAnsi"/>
          <w:bCs/>
          <w:lang w:eastAsia="en-GB"/>
        </w:rPr>
        <w:t>9</w:t>
      </w:r>
      <w:r w:rsidR="00B235CB">
        <w:rPr>
          <w:rFonts w:eastAsia="Times New Roman" w:cstheme="minorHAnsi"/>
          <w:bCs/>
          <w:lang w:eastAsia="en-GB"/>
        </w:rPr>
        <w:t>.4 below</w:t>
      </w:r>
      <w:r w:rsidR="006A785F" w:rsidRPr="001F2F89">
        <w:rPr>
          <w:rFonts w:eastAsia="Times New Roman" w:cstheme="minorHAnsi"/>
          <w:bCs/>
          <w:lang w:eastAsia="en-GB"/>
        </w:rPr>
        <w:t>.</w:t>
      </w:r>
      <w:r w:rsidR="00B315D1" w:rsidRPr="001F2F89">
        <w:rPr>
          <w:rFonts w:eastAsia="Times New Roman" w:cstheme="minorHAnsi"/>
          <w:bCs/>
          <w:lang w:eastAsia="en-GB"/>
        </w:rPr>
        <w:t xml:space="preserve"> </w:t>
      </w:r>
    </w:p>
    <w:p w14:paraId="085EBD98" w14:textId="77777777" w:rsidR="001F2F89" w:rsidRDefault="001F2F89" w:rsidP="001F2F89">
      <w:pPr>
        <w:spacing w:after="0"/>
        <w:rPr>
          <w:rFonts w:eastAsia="Times New Roman" w:cstheme="minorHAnsi"/>
          <w:bCs/>
          <w:lang w:eastAsia="en-GB"/>
        </w:rPr>
      </w:pPr>
    </w:p>
    <w:p w14:paraId="2E23AAC2" w14:textId="45EF95D0" w:rsidR="001F2F89" w:rsidRDefault="009E5FB4" w:rsidP="001F2F89">
      <w:pPr>
        <w:spacing w:after="0"/>
        <w:rPr>
          <w:rFonts w:eastAsia="Times New Roman" w:cstheme="minorHAnsi"/>
          <w:lang w:eastAsia="en-GB"/>
        </w:rPr>
      </w:pPr>
      <w:r>
        <w:rPr>
          <w:rFonts w:eastAsia="Times New Roman" w:cstheme="minorHAnsi"/>
          <w:bCs/>
          <w:lang w:eastAsia="en-GB"/>
        </w:rPr>
        <w:t>8</w:t>
      </w:r>
      <w:r w:rsidR="001F2F89" w:rsidRPr="001F2F89">
        <w:rPr>
          <w:rFonts w:eastAsia="Times New Roman" w:cstheme="minorHAnsi"/>
          <w:bCs/>
          <w:lang w:eastAsia="en-GB"/>
        </w:rPr>
        <w:t xml:space="preserve">.4 </w:t>
      </w:r>
      <w:r w:rsidR="00B315D1" w:rsidRPr="001F2F89">
        <w:rPr>
          <w:rFonts w:eastAsia="Times New Roman" w:cstheme="minorHAnsi"/>
          <w:bCs/>
          <w:lang w:eastAsia="en-GB"/>
        </w:rPr>
        <w:t xml:space="preserve">Agencies </w:t>
      </w:r>
      <w:r w:rsidR="00D162CF">
        <w:rPr>
          <w:rFonts w:eastAsia="Times New Roman" w:cstheme="minorHAnsi"/>
          <w:bCs/>
          <w:lang w:eastAsia="en-GB"/>
        </w:rPr>
        <w:t>completing an</w:t>
      </w:r>
      <w:r w:rsidR="00B315D1" w:rsidRPr="001F2F89">
        <w:rPr>
          <w:rFonts w:eastAsia="Times New Roman" w:cstheme="minorHAnsi"/>
          <w:bCs/>
          <w:lang w:eastAsia="en-GB"/>
        </w:rPr>
        <w:t xml:space="preserve"> IMR</w:t>
      </w:r>
      <w:r w:rsidR="003E5A49">
        <w:rPr>
          <w:rFonts w:eastAsia="Times New Roman" w:cstheme="minorHAnsi"/>
          <w:bCs/>
          <w:lang w:eastAsia="en-GB"/>
        </w:rPr>
        <w:t>/summary report</w:t>
      </w:r>
      <w:r w:rsidR="00D162CF">
        <w:rPr>
          <w:rFonts w:eastAsia="Times New Roman" w:cstheme="minorHAnsi"/>
          <w:bCs/>
          <w:lang w:eastAsia="en-GB"/>
        </w:rPr>
        <w:t xml:space="preserve"> for an Out of County DHR are to submit this</w:t>
      </w:r>
      <w:r w:rsidR="00B315D1" w:rsidRPr="001F2F89">
        <w:rPr>
          <w:rFonts w:eastAsia="Times New Roman" w:cstheme="minorHAnsi"/>
          <w:bCs/>
          <w:lang w:eastAsia="en-GB"/>
        </w:rPr>
        <w:t xml:space="preserve"> to </w:t>
      </w:r>
      <w:r w:rsidR="003E5A49">
        <w:rPr>
          <w:rFonts w:eastAsia="Times New Roman" w:cstheme="minorHAnsi"/>
          <w:bCs/>
          <w:lang w:eastAsia="en-GB"/>
        </w:rPr>
        <w:t xml:space="preserve">DHR Team &amp; </w:t>
      </w:r>
      <w:r w:rsidR="009462B8" w:rsidRPr="00540060">
        <w:rPr>
          <w:rFonts w:cstheme="minorHAnsi"/>
        </w:rPr>
        <w:t xml:space="preserve">Legal Services Lincolnshire </w:t>
      </w:r>
      <w:r w:rsidR="00B315D1" w:rsidRPr="001F2F89">
        <w:rPr>
          <w:rFonts w:eastAsia="Times New Roman" w:cstheme="minorHAnsi"/>
          <w:bCs/>
          <w:lang w:eastAsia="en-GB"/>
        </w:rPr>
        <w:t>for the QA process</w:t>
      </w:r>
      <w:r w:rsidR="00F96B57" w:rsidRPr="001F2F89">
        <w:rPr>
          <w:rFonts w:eastAsia="Times New Roman" w:cstheme="minorHAnsi"/>
          <w:bCs/>
          <w:lang w:eastAsia="en-GB"/>
        </w:rPr>
        <w:t xml:space="preserve"> to be completed</w:t>
      </w:r>
      <w:r w:rsidR="00461F8A">
        <w:rPr>
          <w:rFonts w:eastAsia="Times New Roman" w:cstheme="minorHAnsi"/>
          <w:bCs/>
          <w:lang w:eastAsia="en-GB"/>
        </w:rPr>
        <w:t xml:space="preserve"> as normal</w:t>
      </w:r>
      <w:r w:rsidR="00B315D1" w:rsidRPr="001F2F89">
        <w:rPr>
          <w:rFonts w:eastAsia="Times New Roman" w:cstheme="minorHAnsi"/>
          <w:bCs/>
          <w:lang w:eastAsia="en-GB"/>
        </w:rPr>
        <w:t>, before submission</w:t>
      </w:r>
      <w:r w:rsidR="00665C8C" w:rsidRPr="001F2F89">
        <w:rPr>
          <w:rFonts w:eastAsia="Times New Roman" w:cstheme="minorHAnsi"/>
          <w:bCs/>
          <w:lang w:eastAsia="en-GB"/>
        </w:rPr>
        <w:t xml:space="preserve"> to the other county.</w:t>
      </w:r>
      <w:r w:rsidR="00B315D1" w:rsidRPr="001F2F89">
        <w:rPr>
          <w:rFonts w:eastAsia="Times New Roman" w:cstheme="minorHAnsi"/>
          <w:bCs/>
          <w:lang w:eastAsia="en-GB"/>
        </w:rPr>
        <w:t xml:space="preserve"> </w:t>
      </w:r>
      <w:r w:rsidR="008D4751">
        <w:rPr>
          <w:rFonts w:eastAsia="Times New Roman" w:cstheme="minorHAnsi"/>
          <w:bCs/>
          <w:lang w:eastAsia="en-GB"/>
        </w:rPr>
        <w:t>F</w:t>
      </w:r>
      <w:r w:rsidR="00472CF7">
        <w:rPr>
          <w:rFonts w:eastAsia="Times New Roman" w:cstheme="minorHAnsi"/>
          <w:bCs/>
          <w:lang w:eastAsia="en-GB"/>
        </w:rPr>
        <w:t>or more information see the</w:t>
      </w:r>
      <w:r w:rsidR="00500A6A" w:rsidRPr="001F2F89">
        <w:rPr>
          <w:rFonts w:eastAsia="Times New Roman" w:cstheme="minorHAnsi"/>
          <w:bCs/>
          <w:lang w:eastAsia="en-GB"/>
        </w:rPr>
        <w:t xml:space="preserve"> </w:t>
      </w:r>
      <w:r w:rsidR="00665C8C" w:rsidRPr="001F2F89">
        <w:rPr>
          <w:rFonts w:eastAsia="Times New Roman" w:cstheme="minorHAnsi"/>
          <w:lang w:eastAsia="en-GB"/>
        </w:rPr>
        <w:t>Out of County Information Requests Flowchart</w:t>
      </w:r>
      <w:r w:rsidR="00262BDF" w:rsidRPr="001F2F89">
        <w:rPr>
          <w:rFonts w:eastAsia="Times New Roman" w:cstheme="minorHAnsi"/>
          <w:lang w:eastAsia="en-GB"/>
        </w:rPr>
        <w:t xml:space="preserve"> on page 1</w:t>
      </w:r>
      <w:r w:rsidR="002C44FE">
        <w:rPr>
          <w:rFonts w:eastAsia="Times New Roman" w:cstheme="minorHAnsi"/>
          <w:lang w:eastAsia="en-GB"/>
        </w:rPr>
        <w:t>7</w:t>
      </w:r>
      <w:r w:rsidR="00262BDF" w:rsidRPr="001F2F89">
        <w:rPr>
          <w:rFonts w:eastAsia="Times New Roman" w:cstheme="minorHAnsi"/>
          <w:lang w:eastAsia="en-GB"/>
        </w:rPr>
        <w:t>.</w:t>
      </w:r>
      <w:r w:rsidR="00F96B57" w:rsidRPr="001F2F89">
        <w:rPr>
          <w:rFonts w:eastAsia="Times New Roman" w:cstheme="minorHAnsi"/>
          <w:lang w:eastAsia="en-GB"/>
        </w:rPr>
        <w:t xml:space="preserve"> </w:t>
      </w:r>
    </w:p>
    <w:p w14:paraId="41969AE6" w14:textId="77777777" w:rsidR="001F2F89" w:rsidRDefault="001F2F89" w:rsidP="001F2F89">
      <w:pPr>
        <w:spacing w:after="0"/>
        <w:rPr>
          <w:rFonts w:eastAsia="Times New Roman" w:cstheme="minorHAnsi"/>
          <w:lang w:eastAsia="en-GB"/>
        </w:rPr>
      </w:pPr>
    </w:p>
    <w:p w14:paraId="161AD92B" w14:textId="78A18754" w:rsidR="005C73DC" w:rsidRPr="00A46B63" w:rsidRDefault="009E5FB4" w:rsidP="001F2F89">
      <w:pPr>
        <w:spacing w:after="0"/>
        <w:rPr>
          <w:rFonts w:eastAsia="Times New Roman" w:cstheme="minorHAnsi"/>
          <w:lang w:eastAsia="en-GB"/>
        </w:rPr>
      </w:pPr>
      <w:r>
        <w:rPr>
          <w:rFonts w:eastAsia="Times New Roman" w:cstheme="minorHAnsi"/>
          <w:lang w:eastAsia="en-GB"/>
        </w:rPr>
        <w:t>8</w:t>
      </w:r>
      <w:r w:rsidR="001F2F89">
        <w:rPr>
          <w:rFonts w:eastAsia="Times New Roman" w:cstheme="minorHAnsi"/>
          <w:lang w:eastAsia="en-GB"/>
        </w:rPr>
        <w:t xml:space="preserve">.5 </w:t>
      </w:r>
      <w:r w:rsidR="003E5A49">
        <w:rPr>
          <w:rFonts w:eastAsia="Times New Roman" w:cstheme="minorHAnsi"/>
          <w:lang w:eastAsia="en-GB"/>
        </w:rPr>
        <w:t>T</w:t>
      </w:r>
      <w:r w:rsidR="00A46B63">
        <w:rPr>
          <w:rFonts w:eastAsia="Times New Roman" w:cstheme="minorHAnsi"/>
          <w:lang w:eastAsia="en-GB"/>
        </w:rPr>
        <w:t xml:space="preserve">he Domestic Abuse Business Manager will attend </w:t>
      </w:r>
      <w:r w:rsidR="003E5A49">
        <w:rPr>
          <w:rFonts w:eastAsia="Times New Roman" w:cstheme="minorHAnsi"/>
          <w:lang w:eastAsia="en-GB"/>
        </w:rPr>
        <w:t xml:space="preserve">all </w:t>
      </w:r>
      <w:r w:rsidR="00A46B63">
        <w:rPr>
          <w:rFonts w:eastAsia="Times New Roman" w:cstheme="minorHAnsi"/>
          <w:lang w:eastAsia="en-GB"/>
        </w:rPr>
        <w:t xml:space="preserve">Out of County DHR meetings to represent Lincolnshire information, alongside those specific agencies involved. </w:t>
      </w:r>
      <w:r w:rsidR="00F96B57">
        <w:rPr>
          <w:rFonts w:eastAsia="Times New Roman" w:cstheme="minorHAnsi"/>
          <w:lang w:eastAsia="en-GB"/>
        </w:rPr>
        <w:t xml:space="preserve">Also, all communications with the Out of County CSP will be made </w:t>
      </w:r>
      <w:r w:rsidR="00D80EC8">
        <w:rPr>
          <w:rFonts w:eastAsia="Times New Roman" w:cstheme="minorHAnsi"/>
          <w:lang w:eastAsia="en-GB"/>
        </w:rPr>
        <w:t xml:space="preserve">by the </w:t>
      </w:r>
      <w:r w:rsidR="00D80EC8">
        <w:t xml:space="preserve">LDAP </w:t>
      </w:r>
      <w:r w:rsidR="00FF5ACB">
        <w:t xml:space="preserve">Senior </w:t>
      </w:r>
      <w:r w:rsidR="00D80EC8">
        <w:t>Business Support Officer</w:t>
      </w:r>
      <w:r w:rsidR="00D80EC8">
        <w:rPr>
          <w:rFonts w:eastAsia="Times New Roman" w:cstheme="minorHAnsi"/>
          <w:lang w:eastAsia="en-GB"/>
        </w:rPr>
        <w:t xml:space="preserve"> via </w:t>
      </w:r>
      <w:hyperlink r:id="rId18" w:history="1">
        <w:r w:rsidR="00D80EC8" w:rsidRPr="003D19DF">
          <w:rPr>
            <w:rStyle w:val="Hyperlink"/>
            <w:rFonts w:eastAsia="Times New Roman" w:cstheme="minorHAnsi"/>
            <w:lang w:eastAsia="en-GB"/>
          </w:rPr>
          <w:t>DHR@lincolnshire.gov.uk</w:t>
        </w:r>
      </w:hyperlink>
      <w:r w:rsidR="00D80EC8">
        <w:rPr>
          <w:rStyle w:val="Hyperlink"/>
          <w:rFonts w:eastAsia="Times New Roman" w:cstheme="minorHAnsi"/>
          <w:lang w:eastAsia="en-GB"/>
        </w:rPr>
        <w:t xml:space="preserve"> </w:t>
      </w:r>
      <w:r w:rsidR="00F96B57">
        <w:rPr>
          <w:rFonts w:eastAsia="Times New Roman" w:cstheme="minorHAnsi"/>
          <w:lang w:eastAsia="en-GB"/>
        </w:rPr>
        <w:t xml:space="preserve">on behalf of the individual agency. Therefore, if an individual agency is approached </w:t>
      </w:r>
      <w:r w:rsidR="00847EB9">
        <w:rPr>
          <w:rFonts w:eastAsia="Times New Roman" w:cstheme="minorHAnsi"/>
          <w:lang w:eastAsia="en-GB"/>
        </w:rPr>
        <w:t xml:space="preserve">by an out of County CSP they are asked to direct them to the DHR email </w:t>
      </w:r>
      <w:hyperlink r:id="rId19" w:history="1">
        <w:r w:rsidR="00847EB9" w:rsidRPr="003D19DF">
          <w:rPr>
            <w:rStyle w:val="Hyperlink"/>
            <w:rFonts w:eastAsia="Times New Roman" w:cstheme="minorHAnsi"/>
            <w:lang w:eastAsia="en-GB"/>
          </w:rPr>
          <w:t>DHR@lincolnshire.gov.uk</w:t>
        </w:r>
      </w:hyperlink>
      <w:r w:rsidR="00847EB9">
        <w:rPr>
          <w:rFonts w:eastAsia="Times New Roman" w:cstheme="minorHAnsi"/>
          <w:lang w:eastAsia="en-GB"/>
        </w:rPr>
        <w:t xml:space="preserve"> for the Flowchart</w:t>
      </w:r>
      <w:r w:rsidR="009F49D6">
        <w:rPr>
          <w:rFonts w:eastAsia="Times New Roman" w:cstheme="minorHAnsi"/>
          <w:lang w:eastAsia="en-GB"/>
        </w:rPr>
        <w:t xml:space="preserve"> on page 1</w:t>
      </w:r>
      <w:r w:rsidR="002C44FE">
        <w:rPr>
          <w:rFonts w:eastAsia="Times New Roman" w:cstheme="minorHAnsi"/>
          <w:lang w:eastAsia="en-GB"/>
        </w:rPr>
        <w:t>7</w:t>
      </w:r>
      <w:r w:rsidR="009F49D6">
        <w:rPr>
          <w:rFonts w:eastAsia="Times New Roman" w:cstheme="minorHAnsi"/>
          <w:lang w:eastAsia="en-GB"/>
        </w:rPr>
        <w:t xml:space="preserve"> </w:t>
      </w:r>
      <w:r w:rsidR="00847EB9">
        <w:rPr>
          <w:rFonts w:eastAsia="Times New Roman" w:cstheme="minorHAnsi"/>
          <w:lang w:eastAsia="en-GB"/>
        </w:rPr>
        <w:t xml:space="preserve"> to be sent to them and</w:t>
      </w:r>
      <w:r w:rsidR="009F49D6">
        <w:rPr>
          <w:rFonts w:eastAsia="Times New Roman" w:cstheme="minorHAnsi"/>
          <w:lang w:eastAsia="en-GB"/>
        </w:rPr>
        <w:t xml:space="preserve"> </w:t>
      </w:r>
      <w:r w:rsidR="00614059">
        <w:rPr>
          <w:rFonts w:eastAsia="Times New Roman" w:cstheme="minorHAnsi"/>
          <w:lang w:eastAsia="en-GB"/>
        </w:rPr>
        <w:t xml:space="preserve">the </w:t>
      </w:r>
      <w:r w:rsidR="00DD5683">
        <w:rPr>
          <w:rFonts w:eastAsia="Times New Roman" w:cstheme="minorHAnsi"/>
          <w:lang w:eastAsia="en-GB"/>
        </w:rPr>
        <w:t>Out of County</w:t>
      </w:r>
      <w:r w:rsidR="00CA5232">
        <w:rPr>
          <w:rFonts w:eastAsia="Times New Roman" w:cstheme="minorHAnsi"/>
          <w:lang w:eastAsia="en-GB"/>
        </w:rPr>
        <w:t xml:space="preserve"> DHR</w:t>
      </w:r>
      <w:r w:rsidR="00847EB9">
        <w:rPr>
          <w:rFonts w:eastAsia="Times New Roman" w:cstheme="minorHAnsi"/>
          <w:lang w:eastAsia="en-GB"/>
        </w:rPr>
        <w:t xml:space="preserve"> process to be followed.</w:t>
      </w:r>
    </w:p>
    <w:p w14:paraId="09D926F6" w14:textId="77777777" w:rsidR="00C32D39" w:rsidRDefault="00C32D39" w:rsidP="00F61209">
      <w:pPr>
        <w:spacing w:after="0" w:line="240" w:lineRule="auto"/>
        <w:ind w:right="240"/>
        <w:jc w:val="both"/>
        <w:rPr>
          <w:rFonts w:eastAsia="Times New Roman" w:cstheme="minorHAnsi"/>
          <w:bCs/>
          <w:lang w:eastAsia="en-GB"/>
        </w:rPr>
      </w:pPr>
    </w:p>
    <w:p w14:paraId="6F5D7918" w14:textId="11BF73CD" w:rsidR="00F61209" w:rsidRPr="001C7B04" w:rsidRDefault="009E5FB4" w:rsidP="00F61209">
      <w:pPr>
        <w:spacing w:after="0" w:line="240" w:lineRule="auto"/>
        <w:ind w:right="240"/>
        <w:jc w:val="both"/>
        <w:rPr>
          <w:rFonts w:eastAsia="Times New Roman" w:cstheme="minorHAnsi"/>
          <w:b/>
          <w:u w:val="single"/>
          <w:lang w:eastAsia="en-GB"/>
        </w:rPr>
      </w:pPr>
      <w:r>
        <w:rPr>
          <w:rFonts w:eastAsia="Times New Roman" w:cstheme="minorHAnsi"/>
          <w:b/>
          <w:u w:val="single"/>
          <w:lang w:eastAsia="en-GB"/>
        </w:rPr>
        <w:t>9</w:t>
      </w:r>
      <w:r w:rsidR="00753354" w:rsidRPr="001C7B04">
        <w:rPr>
          <w:rFonts w:eastAsia="Times New Roman" w:cstheme="minorHAnsi"/>
          <w:b/>
          <w:u w:val="single"/>
          <w:lang w:eastAsia="en-GB"/>
        </w:rPr>
        <w:t>.</w:t>
      </w:r>
      <w:r w:rsidR="00F61209" w:rsidRPr="001C7B04">
        <w:rPr>
          <w:rFonts w:eastAsia="Times New Roman" w:cstheme="minorHAnsi"/>
          <w:b/>
          <w:u w:val="single"/>
          <w:lang w:eastAsia="en-GB"/>
        </w:rPr>
        <w:t xml:space="preserve"> </w:t>
      </w:r>
      <w:bookmarkStart w:id="7" w:name="TheRolsOfTheIndependentChair"/>
      <w:r w:rsidR="00F61209" w:rsidRPr="001C7B04">
        <w:rPr>
          <w:rFonts w:eastAsia="Times New Roman" w:cstheme="minorHAnsi"/>
          <w:b/>
          <w:u w:val="single"/>
          <w:lang w:eastAsia="en-GB"/>
        </w:rPr>
        <w:t>T</w:t>
      </w:r>
      <w:r w:rsidR="000D3661" w:rsidRPr="001C7B04">
        <w:rPr>
          <w:rFonts w:eastAsia="Times New Roman" w:cstheme="minorHAnsi"/>
          <w:b/>
          <w:u w:val="single"/>
          <w:lang w:eastAsia="en-GB"/>
        </w:rPr>
        <w:t>HE ROLE OF THE INDEPENDENT CHAIR OF THE DHR PANEL</w:t>
      </w:r>
      <w:r w:rsidR="00F61209" w:rsidRPr="001C7B04">
        <w:rPr>
          <w:rFonts w:eastAsia="Times New Roman" w:cstheme="minorHAnsi"/>
          <w:b/>
          <w:u w:val="single"/>
          <w:lang w:eastAsia="en-GB"/>
        </w:rPr>
        <w:t>:</w:t>
      </w:r>
      <w:bookmarkEnd w:id="7"/>
    </w:p>
    <w:p w14:paraId="6FFB715F" w14:textId="77777777" w:rsidR="00F61209" w:rsidRPr="00F61209" w:rsidRDefault="00F61209" w:rsidP="00F61209">
      <w:pPr>
        <w:spacing w:after="0" w:line="240" w:lineRule="auto"/>
        <w:ind w:left="3" w:right="240"/>
        <w:jc w:val="both"/>
        <w:rPr>
          <w:rFonts w:eastAsia="Times New Roman" w:cstheme="minorHAnsi"/>
          <w:lang w:eastAsia="en-GB"/>
        </w:rPr>
      </w:pPr>
    </w:p>
    <w:p w14:paraId="1C3939D5" w14:textId="69697BC2" w:rsidR="00F61209" w:rsidRPr="00F61209" w:rsidRDefault="009E5FB4" w:rsidP="00F61209">
      <w:pPr>
        <w:spacing w:after="0"/>
        <w:ind w:left="3" w:right="240"/>
        <w:rPr>
          <w:rFonts w:eastAsia="Times New Roman" w:cstheme="minorHAnsi"/>
          <w:lang w:eastAsia="en-GB"/>
        </w:rPr>
      </w:pPr>
      <w:r>
        <w:rPr>
          <w:rFonts w:eastAsia="Times New Roman" w:cstheme="minorHAnsi"/>
          <w:lang w:eastAsia="en-GB"/>
        </w:rPr>
        <w:t>9</w:t>
      </w:r>
      <w:r w:rsidR="00F61209" w:rsidRPr="00F61209">
        <w:rPr>
          <w:rFonts w:eastAsia="Times New Roman" w:cstheme="minorHAnsi"/>
          <w:lang w:eastAsia="en-GB"/>
        </w:rPr>
        <w:t>.1 Consideration should be given to the skills and expertise required to effectively chair a review. The following is a guide:</w:t>
      </w:r>
    </w:p>
    <w:p w14:paraId="5A6C5EA5" w14:textId="098717A9" w:rsidR="00F61209" w:rsidRP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t xml:space="preserve">Enhanced knowledge of domestic abuse issues including so-called 'honour'-based </w:t>
      </w:r>
      <w:r w:rsidR="001C031B">
        <w:rPr>
          <w:rFonts w:eastAsia="Times New Roman" w:cstheme="minorHAnsi"/>
          <w:lang w:eastAsia="en-GB"/>
        </w:rPr>
        <w:t>abuse</w:t>
      </w:r>
      <w:r w:rsidRPr="00F61209">
        <w:rPr>
          <w:rFonts w:eastAsia="Times New Roman" w:cstheme="minorHAnsi"/>
          <w:lang w:eastAsia="en-GB"/>
        </w:rPr>
        <w:t xml:space="preserve">, research, </w:t>
      </w:r>
      <w:proofErr w:type="gramStart"/>
      <w:r w:rsidRPr="00F61209">
        <w:rPr>
          <w:rFonts w:eastAsia="Times New Roman" w:cstheme="minorHAnsi"/>
          <w:lang w:eastAsia="en-GB"/>
        </w:rPr>
        <w:t>guidance</w:t>
      </w:r>
      <w:proofErr w:type="gramEnd"/>
      <w:r w:rsidRPr="00F61209">
        <w:rPr>
          <w:rFonts w:eastAsia="Times New Roman" w:cstheme="minorHAnsi"/>
          <w:lang w:eastAsia="en-GB"/>
        </w:rPr>
        <w:t xml:space="preserve"> and legislation relating to adults and children, including for example the Children's Act 2004, the Care Act 2014 and the Equality Act 2010.</w:t>
      </w:r>
    </w:p>
    <w:p w14:paraId="0A77B79C" w14:textId="77777777" w:rsidR="00F61209" w:rsidRP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t>An understanding of the role and context of the main agencies likely to be involved in the review.</w:t>
      </w:r>
    </w:p>
    <w:p w14:paraId="2DCBA314" w14:textId="77777777" w:rsidR="00F61209" w:rsidRP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t>An understanding of the local picture of domestic abuse in Lincolnshire.</w:t>
      </w:r>
    </w:p>
    <w:p w14:paraId="783C1413" w14:textId="77777777" w:rsidR="00F61209" w:rsidRP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t>Managerial expertise.</w:t>
      </w:r>
    </w:p>
    <w:p w14:paraId="33DB06A1" w14:textId="000AB5DD" w:rsidR="00F61209" w:rsidRP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lastRenderedPageBreak/>
        <w:t>Strategic vision so that opportunities are identified to link in and inform strategies such as the Government's Call to End Violence Against Women and Girls: 20</w:t>
      </w:r>
      <w:r w:rsidR="00645982">
        <w:rPr>
          <w:rFonts w:eastAsia="Times New Roman" w:cstheme="minorHAnsi"/>
          <w:lang w:eastAsia="en-GB"/>
        </w:rPr>
        <w:t>21</w:t>
      </w:r>
      <w:r w:rsidRPr="00F61209">
        <w:rPr>
          <w:rFonts w:eastAsia="Times New Roman" w:cstheme="minorHAnsi"/>
          <w:lang w:eastAsia="en-GB"/>
        </w:rPr>
        <w:t xml:space="preserve"> to 202</w:t>
      </w:r>
      <w:r w:rsidR="00645982">
        <w:rPr>
          <w:rFonts w:eastAsia="Times New Roman" w:cstheme="minorHAnsi"/>
          <w:lang w:eastAsia="en-GB"/>
        </w:rPr>
        <w:t>4</w:t>
      </w:r>
      <w:r w:rsidRPr="00F61209">
        <w:rPr>
          <w:rFonts w:eastAsia="Times New Roman" w:cstheme="minorHAnsi"/>
          <w:lang w:eastAsia="en-GB"/>
        </w:rPr>
        <w:t>.</w:t>
      </w:r>
    </w:p>
    <w:p w14:paraId="749A0D5A" w14:textId="77777777" w:rsidR="00F61209" w:rsidRP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t>Good investigative, interviewing and communication skills.</w:t>
      </w:r>
    </w:p>
    <w:p w14:paraId="54FF1EBE" w14:textId="77777777" w:rsidR="00F61209" w:rsidRP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t>An understanding of the discipline regimes within participating agencies.</w:t>
      </w:r>
    </w:p>
    <w:p w14:paraId="5A4B5256" w14:textId="77777777" w:rsidR="00F61209" w:rsidRP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t>An understanding of wider statutory review frameworks such as child/adult and/or mental health reviews.</w:t>
      </w:r>
    </w:p>
    <w:p w14:paraId="16A29BFD" w14:textId="77777777" w:rsidR="00F61209" w:rsidRP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t>The completion of the Home Office E-Learning Training Package on Domestic Homicide Reviews, including the additional modules on chairing reviews and producing Overview Reports.</w:t>
      </w:r>
    </w:p>
    <w:p w14:paraId="7746FE37" w14:textId="087DD4BD" w:rsidR="00F61209" w:rsidRDefault="00F61209" w:rsidP="009F21E6">
      <w:pPr>
        <w:numPr>
          <w:ilvl w:val="0"/>
          <w:numId w:val="5"/>
        </w:numPr>
        <w:spacing w:after="0"/>
        <w:ind w:right="240"/>
        <w:rPr>
          <w:rFonts w:eastAsia="Times New Roman" w:cstheme="minorHAnsi"/>
          <w:lang w:eastAsia="en-GB"/>
        </w:rPr>
      </w:pPr>
      <w:r w:rsidRPr="00F61209">
        <w:rPr>
          <w:rFonts w:eastAsia="Times New Roman" w:cstheme="minorHAnsi"/>
          <w:lang w:eastAsia="en-GB"/>
        </w:rPr>
        <w:t>Attendance at the DHR Chair's Training events run by the Home Office.</w:t>
      </w:r>
    </w:p>
    <w:p w14:paraId="5E57056A" w14:textId="77777777" w:rsidR="00E6376E" w:rsidRPr="00F61209" w:rsidRDefault="00E6376E" w:rsidP="00E6376E">
      <w:pPr>
        <w:spacing w:after="0"/>
        <w:ind w:left="734" w:right="240"/>
        <w:rPr>
          <w:rFonts w:eastAsia="Times New Roman" w:cstheme="minorHAnsi"/>
          <w:lang w:eastAsia="en-GB"/>
        </w:rPr>
      </w:pPr>
    </w:p>
    <w:p w14:paraId="799384DB" w14:textId="77777777" w:rsidR="00F61209" w:rsidRPr="00F61209" w:rsidRDefault="00F61209" w:rsidP="00F61209">
      <w:pPr>
        <w:spacing w:after="0"/>
        <w:ind w:right="240"/>
        <w:rPr>
          <w:rFonts w:eastAsia="Times New Roman" w:cstheme="minorHAnsi"/>
          <w:lang w:eastAsia="en-GB"/>
        </w:rPr>
      </w:pPr>
      <w:r w:rsidRPr="00F61209">
        <w:rPr>
          <w:rFonts w:eastAsia="Times New Roman" w:cstheme="minorHAnsi"/>
          <w:lang w:eastAsia="en-GB"/>
        </w:rPr>
        <w:t>The roles and responsibilities of the Chair include:</w:t>
      </w:r>
    </w:p>
    <w:p w14:paraId="2B5CAF95" w14:textId="77777777" w:rsidR="00F61209" w:rsidRDefault="00F61209" w:rsidP="009F21E6">
      <w:pPr>
        <w:numPr>
          <w:ilvl w:val="0"/>
          <w:numId w:val="6"/>
        </w:numPr>
        <w:spacing w:after="0"/>
        <w:ind w:right="240"/>
        <w:rPr>
          <w:rFonts w:eastAsia="Times New Roman" w:cstheme="minorHAnsi"/>
          <w:lang w:eastAsia="en-GB"/>
        </w:rPr>
      </w:pPr>
      <w:r w:rsidRPr="00F61209">
        <w:rPr>
          <w:rFonts w:eastAsia="Times New Roman" w:cstheme="minorHAnsi"/>
          <w:lang w:eastAsia="en-GB"/>
        </w:rPr>
        <w:t xml:space="preserve">Lead on setting the terms of reference with the </w:t>
      </w:r>
      <w:r>
        <w:rPr>
          <w:rFonts w:eastAsia="Times New Roman" w:cstheme="minorHAnsi"/>
          <w:lang w:eastAsia="en-GB"/>
        </w:rPr>
        <w:t xml:space="preserve">review </w:t>
      </w:r>
      <w:proofErr w:type="gramStart"/>
      <w:r>
        <w:rPr>
          <w:rFonts w:eastAsia="Times New Roman" w:cstheme="minorHAnsi"/>
          <w:lang w:eastAsia="en-GB"/>
        </w:rPr>
        <w:t>panel</w:t>
      </w:r>
      <w:proofErr w:type="gramEnd"/>
    </w:p>
    <w:p w14:paraId="1DC8C1DF" w14:textId="77777777" w:rsidR="00F61209" w:rsidRPr="00F61209" w:rsidRDefault="00F61209" w:rsidP="009F21E6">
      <w:pPr>
        <w:numPr>
          <w:ilvl w:val="0"/>
          <w:numId w:val="6"/>
        </w:numPr>
        <w:spacing w:after="0"/>
        <w:ind w:right="240"/>
        <w:rPr>
          <w:rFonts w:eastAsia="Times New Roman" w:cstheme="minorHAnsi"/>
          <w:lang w:eastAsia="en-GB"/>
        </w:rPr>
      </w:pPr>
      <w:r w:rsidRPr="00F61209">
        <w:rPr>
          <w:rFonts w:eastAsia="Times New Roman" w:cstheme="minorHAnsi"/>
          <w:lang w:eastAsia="en-GB"/>
        </w:rPr>
        <w:t>Leading the DH</w:t>
      </w:r>
      <w:r>
        <w:rPr>
          <w:rFonts w:eastAsia="Times New Roman" w:cstheme="minorHAnsi"/>
          <w:lang w:eastAsia="en-GB"/>
        </w:rPr>
        <w:t>R</w:t>
      </w:r>
      <w:r w:rsidRPr="00F61209">
        <w:rPr>
          <w:rFonts w:eastAsia="Times New Roman" w:cstheme="minorHAnsi"/>
          <w:lang w:eastAsia="en-GB"/>
        </w:rPr>
        <w:t xml:space="preserve"> review</w:t>
      </w:r>
    </w:p>
    <w:p w14:paraId="39C23A37" w14:textId="77777777" w:rsidR="00F61209" w:rsidRPr="00F61209" w:rsidRDefault="00F61209" w:rsidP="009F21E6">
      <w:pPr>
        <w:numPr>
          <w:ilvl w:val="0"/>
          <w:numId w:val="6"/>
        </w:numPr>
        <w:spacing w:after="0"/>
        <w:ind w:right="240"/>
        <w:rPr>
          <w:rFonts w:eastAsia="Times New Roman" w:cstheme="minorHAnsi"/>
          <w:lang w:eastAsia="en-GB"/>
        </w:rPr>
      </w:pPr>
      <w:r w:rsidRPr="00F61209">
        <w:rPr>
          <w:rFonts w:eastAsia="Times New Roman" w:cstheme="minorHAnsi"/>
          <w:lang w:eastAsia="en-GB"/>
        </w:rPr>
        <w:t>Ensure the Senior Investigating Officer is fully informed of the review.</w:t>
      </w:r>
    </w:p>
    <w:p w14:paraId="6B401E47" w14:textId="77777777" w:rsidR="00F61209" w:rsidRPr="00F61209" w:rsidRDefault="00F61209" w:rsidP="009F21E6">
      <w:pPr>
        <w:numPr>
          <w:ilvl w:val="0"/>
          <w:numId w:val="6"/>
        </w:numPr>
        <w:spacing w:after="0"/>
        <w:ind w:right="240"/>
        <w:rPr>
          <w:rFonts w:eastAsia="Times New Roman" w:cstheme="minorHAnsi"/>
          <w:lang w:eastAsia="en-GB"/>
        </w:rPr>
      </w:pPr>
      <w:r w:rsidRPr="00F61209">
        <w:rPr>
          <w:rFonts w:eastAsia="Times New Roman" w:cstheme="minorHAnsi"/>
          <w:lang w:eastAsia="en-GB"/>
        </w:rPr>
        <w:t xml:space="preserve">Ensure the appropriate expertise is available on the review </w:t>
      </w:r>
      <w:proofErr w:type="gramStart"/>
      <w:r w:rsidRPr="00F61209">
        <w:rPr>
          <w:rFonts w:eastAsia="Times New Roman" w:cstheme="minorHAnsi"/>
          <w:lang w:eastAsia="en-GB"/>
        </w:rPr>
        <w:t>panel</w:t>
      </w:r>
      <w:proofErr w:type="gramEnd"/>
    </w:p>
    <w:p w14:paraId="15D682E1" w14:textId="4356B7E5" w:rsidR="00F61209" w:rsidRPr="00F61209" w:rsidRDefault="00F61209" w:rsidP="009F21E6">
      <w:pPr>
        <w:numPr>
          <w:ilvl w:val="0"/>
          <w:numId w:val="6"/>
        </w:numPr>
        <w:spacing w:after="0"/>
        <w:ind w:right="240"/>
        <w:rPr>
          <w:rFonts w:eastAsia="Times New Roman" w:cstheme="minorHAnsi"/>
          <w:lang w:eastAsia="en-GB"/>
        </w:rPr>
      </w:pPr>
      <w:r w:rsidRPr="00F61209">
        <w:rPr>
          <w:rFonts w:eastAsia="Times New Roman" w:cstheme="minorHAnsi"/>
          <w:lang w:eastAsia="en-GB"/>
        </w:rPr>
        <w:t xml:space="preserve">Coordinate with parallel proceedings </w:t>
      </w:r>
      <w:r w:rsidR="00C32D39" w:rsidRPr="00F61209">
        <w:rPr>
          <w:rFonts w:eastAsia="Times New Roman" w:cstheme="minorHAnsi"/>
          <w:lang w:eastAsia="en-GB"/>
        </w:rPr>
        <w:t>e.g.,</w:t>
      </w:r>
      <w:r w:rsidRPr="00F61209">
        <w:rPr>
          <w:rFonts w:eastAsia="Times New Roman" w:cstheme="minorHAnsi"/>
          <w:lang w:eastAsia="en-GB"/>
        </w:rPr>
        <w:t xml:space="preserve"> </w:t>
      </w:r>
      <w:r w:rsidR="007F13B0" w:rsidRPr="007F13B0">
        <w:rPr>
          <w:rFonts w:eastAsia="Times New Roman" w:cstheme="minorHAnsi"/>
          <w:lang w:eastAsia="en-GB"/>
        </w:rPr>
        <w:t>Independent Office for Police Conduct</w:t>
      </w:r>
      <w:r w:rsidRPr="00F61209">
        <w:rPr>
          <w:rFonts w:eastAsia="Times New Roman" w:cstheme="minorHAnsi"/>
          <w:lang w:eastAsia="en-GB"/>
        </w:rPr>
        <w:t xml:space="preserve">, mental health reviews, </w:t>
      </w:r>
      <w:r w:rsidR="00030542">
        <w:rPr>
          <w:rFonts w:eastAsia="Times New Roman" w:cstheme="minorHAnsi"/>
          <w:lang w:eastAsia="en-GB"/>
        </w:rPr>
        <w:t>LSCPR's</w:t>
      </w:r>
      <w:r w:rsidRPr="00F61209">
        <w:rPr>
          <w:rFonts w:eastAsia="Times New Roman" w:cstheme="minorHAnsi"/>
          <w:lang w:eastAsia="en-GB"/>
        </w:rPr>
        <w:t xml:space="preserve"> and Safeguarding Adult Reviews.</w:t>
      </w:r>
    </w:p>
    <w:p w14:paraId="6167B998" w14:textId="77777777" w:rsidR="00F61209" w:rsidRPr="00F61209" w:rsidRDefault="00F61209" w:rsidP="009F21E6">
      <w:pPr>
        <w:numPr>
          <w:ilvl w:val="0"/>
          <w:numId w:val="6"/>
        </w:numPr>
        <w:spacing w:after="0"/>
        <w:ind w:right="240"/>
        <w:rPr>
          <w:rFonts w:eastAsia="Times New Roman" w:cstheme="minorHAnsi"/>
          <w:lang w:eastAsia="en-GB"/>
        </w:rPr>
      </w:pPr>
      <w:r w:rsidRPr="00F61209">
        <w:rPr>
          <w:rFonts w:eastAsia="Times New Roman" w:cstheme="minorHAnsi"/>
          <w:lang w:eastAsia="en-GB"/>
        </w:rPr>
        <w:t xml:space="preserve">Ensure disclosure issues are </w:t>
      </w:r>
      <w:proofErr w:type="gramStart"/>
      <w:r w:rsidRPr="00F61209">
        <w:rPr>
          <w:rFonts w:eastAsia="Times New Roman" w:cstheme="minorHAnsi"/>
          <w:lang w:eastAsia="en-GB"/>
        </w:rPr>
        <w:t>managed</w:t>
      </w:r>
      <w:proofErr w:type="gramEnd"/>
    </w:p>
    <w:p w14:paraId="6347DD79" w14:textId="77777777" w:rsidR="00F61209" w:rsidRPr="00F61209" w:rsidRDefault="00F61209" w:rsidP="009F21E6">
      <w:pPr>
        <w:numPr>
          <w:ilvl w:val="0"/>
          <w:numId w:val="6"/>
        </w:numPr>
        <w:spacing w:after="0"/>
        <w:ind w:right="240"/>
        <w:rPr>
          <w:rFonts w:eastAsia="Times New Roman" w:cstheme="minorHAnsi"/>
          <w:lang w:eastAsia="en-GB"/>
        </w:rPr>
      </w:pPr>
      <w:r w:rsidRPr="00F61209">
        <w:rPr>
          <w:rFonts w:eastAsia="Times New Roman" w:cstheme="minorHAnsi"/>
          <w:lang w:eastAsia="en-GB"/>
        </w:rPr>
        <w:t>Ensure links with victim's family and friends of those individuals identified in the Terms of Reference, also ensuring that different methods and times of communication are used to make these links.</w:t>
      </w:r>
    </w:p>
    <w:p w14:paraId="57086251" w14:textId="44342520" w:rsidR="00F61209" w:rsidRPr="00F61209" w:rsidRDefault="00F61209" w:rsidP="009F21E6">
      <w:pPr>
        <w:numPr>
          <w:ilvl w:val="0"/>
          <w:numId w:val="6"/>
        </w:numPr>
        <w:spacing w:after="0"/>
        <w:ind w:right="240"/>
        <w:rPr>
          <w:rFonts w:eastAsia="Times New Roman" w:cstheme="minorHAnsi"/>
          <w:lang w:eastAsia="en-GB"/>
        </w:rPr>
      </w:pPr>
      <w:r w:rsidRPr="00F61209">
        <w:rPr>
          <w:rFonts w:eastAsia="Times New Roman" w:cstheme="minorHAnsi"/>
          <w:lang w:eastAsia="en-GB"/>
        </w:rPr>
        <w:t xml:space="preserve">Work effectively alongside the </w:t>
      </w:r>
      <w:r>
        <w:rPr>
          <w:rFonts w:eastAsia="Times New Roman" w:cstheme="minorHAnsi"/>
          <w:lang w:eastAsia="en-GB"/>
        </w:rPr>
        <w:t>L</w:t>
      </w:r>
      <w:r w:rsidR="00297C7D">
        <w:rPr>
          <w:rFonts w:eastAsia="Times New Roman" w:cstheme="minorHAnsi"/>
          <w:lang w:eastAsia="en-GB"/>
        </w:rPr>
        <w:t>DA</w:t>
      </w:r>
      <w:r>
        <w:rPr>
          <w:rFonts w:eastAsia="Times New Roman" w:cstheme="minorHAnsi"/>
          <w:lang w:eastAsia="en-GB"/>
        </w:rPr>
        <w:t xml:space="preserve">P </w:t>
      </w:r>
      <w:r w:rsidR="00297C7D">
        <w:rPr>
          <w:rFonts w:eastAsia="Times New Roman" w:cstheme="minorHAnsi"/>
          <w:lang w:eastAsia="en-GB"/>
        </w:rPr>
        <w:t>Business Manager</w:t>
      </w:r>
      <w:r w:rsidRPr="00F61209">
        <w:rPr>
          <w:rFonts w:eastAsia="Times New Roman" w:cstheme="minorHAnsi"/>
          <w:lang w:eastAsia="en-GB"/>
        </w:rPr>
        <w:t xml:space="preserve"> and Safeguarding Board Managers (</w:t>
      </w:r>
      <w:r w:rsidR="003A7A98">
        <w:rPr>
          <w:rFonts w:eastAsia="Times New Roman" w:cstheme="minorHAnsi"/>
          <w:lang w:eastAsia="en-GB"/>
        </w:rPr>
        <w:t>if a joint review</w:t>
      </w:r>
      <w:r w:rsidRPr="00F61209">
        <w:rPr>
          <w:rFonts w:eastAsia="Times New Roman" w:cstheme="minorHAnsi"/>
          <w:lang w:eastAsia="en-GB"/>
        </w:rPr>
        <w:t>) to ensure th</w:t>
      </w:r>
      <w:r w:rsidR="00FE1577">
        <w:rPr>
          <w:rFonts w:eastAsia="Times New Roman" w:cstheme="minorHAnsi"/>
          <w:lang w:eastAsia="en-GB"/>
        </w:rPr>
        <w:t xml:space="preserve">e smooth running of the </w:t>
      </w:r>
      <w:proofErr w:type="gramStart"/>
      <w:r w:rsidR="00FE1577">
        <w:rPr>
          <w:rFonts w:eastAsia="Times New Roman" w:cstheme="minorHAnsi"/>
          <w:lang w:eastAsia="en-GB"/>
        </w:rPr>
        <w:t>process</w:t>
      </w:r>
      <w:proofErr w:type="gramEnd"/>
    </w:p>
    <w:p w14:paraId="77B0A4D3" w14:textId="1F81059C" w:rsidR="00F61209" w:rsidRPr="00F61209" w:rsidRDefault="00F61209" w:rsidP="009F21E6">
      <w:pPr>
        <w:numPr>
          <w:ilvl w:val="0"/>
          <w:numId w:val="6"/>
        </w:numPr>
        <w:spacing w:after="0"/>
        <w:ind w:right="240"/>
        <w:rPr>
          <w:rFonts w:eastAsia="Times New Roman" w:cstheme="minorHAnsi"/>
          <w:lang w:eastAsia="en-GB"/>
        </w:rPr>
      </w:pPr>
      <w:r w:rsidRPr="00F61209">
        <w:rPr>
          <w:rFonts w:eastAsia="Times New Roman" w:cstheme="minorHAnsi"/>
          <w:lang w:eastAsia="en-GB"/>
        </w:rPr>
        <w:t xml:space="preserve">Where there is no </w:t>
      </w:r>
      <w:r w:rsidR="00462D9F">
        <w:rPr>
          <w:rFonts w:eastAsia="Times New Roman" w:cstheme="minorHAnsi"/>
          <w:lang w:eastAsia="en-GB"/>
        </w:rPr>
        <w:t xml:space="preserve">separate </w:t>
      </w:r>
      <w:r w:rsidRPr="00F61209">
        <w:rPr>
          <w:rFonts w:eastAsia="Times New Roman" w:cstheme="minorHAnsi"/>
          <w:lang w:eastAsia="en-GB"/>
        </w:rPr>
        <w:t xml:space="preserve">independent author, the Chair will be responsible </w:t>
      </w:r>
      <w:proofErr w:type="gramStart"/>
      <w:r w:rsidRPr="00F61209">
        <w:rPr>
          <w:rFonts w:eastAsia="Times New Roman" w:cstheme="minorHAnsi"/>
          <w:lang w:eastAsia="en-GB"/>
        </w:rPr>
        <w:t>for the production of</w:t>
      </w:r>
      <w:proofErr w:type="gramEnd"/>
      <w:r w:rsidRPr="00F61209">
        <w:rPr>
          <w:rFonts w:eastAsia="Times New Roman" w:cstheme="minorHAnsi"/>
          <w:lang w:eastAsia="en-GB"/>
        </w:rPr>
        <w:t xml:space="preserve"> the Overview Report</w:t>
      </w:r>
      <w:r w:rsidR="00765EB9">
        <w:rPr>
          <w:rFonts w:eastAsia="Times New Roman" w:cstheme="minorHAnsi"/>
          <w:lang w:eastAsia="en-GB"/>
        </w:rPr>
        <w:t>,</w:t>
      </w:r>
      <w:r w:rsidRPr="00F61209">
        <w:rPr>
          <w:rFonts w:eastAsia="Times New Roman" w:cstheme="minorHAnsi"/>
          <w:lang w:eastAsia="en-GB"/>
        </w:rPr>
        <w:t xml:space="preserve"> Executive Summary</w:t>
      </w:r>
      <w:r w:rsidR="00765EB9">
        <w:rPr>
          <w:rFonts w:eastAsia="Times New Roman" w:cstheme="minorHAnsi"/>
          <w:lang w:eastAsia="en-GB"/>
        </w:rPr>
        <w:t xml:space="preserve"> and a Learning Paper</w:t>
      </w:r>
      <w:r w:rsidR="00462D9F">
        <w:rPr>
          <w:rFonts w:eastAsia="Times New Roman" w:cstheme="minorHAnsi"/>
          <w:lang w:eastAsia="en-GB"/>
        </w:rPr>
        <w:t>.</w:t>
      </w:r>
    </w:p>
    <w:p w14:paraId="4EB025F7" w14:textId="102C968C" w:rsidR="005A3ECF" w:rsidRDefault="000D3661" w:rsidP="00F61209">
      <w:pPr>
        <w:spacing w:before="240"/>
        <w:rPr>
          <w:rFonts w:cstheme="minorHAnsi"/>
        </w:rPr>
      </w:pPr>
      <w:r w:rsidRPr="000D3661">
        <w:rPr>
          <w:rFonts w:cstheme="minorHAnsi"/>
        </w:rPr>
        <w:t>The chair and review panel should consider in each homicide the scope of the review process and draw up clear terms of reference which are proportionate to the nature of the homicide.</w:t>
      </w:r>
      <w:r w:rsidR="003E5A49">
        <w:rPr>
          <w:rFonts w:cstheme="minorHAnsi"/>
        </w:rPr>
        <w:t xml:space="preserve"> The Chair and Author can be single or combined roles.</w:t>
      </w:r>
    </w:p>
    <w:p w14:paraId="56AD638C" w14:textId="1E57D46F" w:rsidR="00005CA5" w:rsidRPr="001C7B04" w:rsidRDefault="004D28E8" w:rsidP="00F61209">
      <w:pPr>
        <w:spacing w:before="240"/>
        <w:rPr>
          <w:rFonts w:cstheme="minorHAnsi"/>
          <w:b/>
          <w:u w:val="single"/>
        </w:rPr>
      </w:pPr>
      <w:r>
        <w:rPr>
          <w:rFonts w:cstheme="minorHAnsi"/>
          <w:b/>
          <w:u w:val="single"/>
        </w:rPr>
        <w:t>1</w:t>
      </w:r>
      <w:r w:rsidR="009E5FB4">
        <w:rPr>
          <w:rFonts w:cstheme="minorHAnsi"/>
          <w:b/>
          <w:u w:val="single"/>
        </w:rPr>
        <w:t>0</w:t>
      </w:r>
      <w:r w:rsidR="00005CA5" w:rsidRPr="001C7B04">
        <w:rPr>
          <w:rFonts w:cstheme="minorHAnsi"/>
          <w:b/>
          <w:u w:val="single"/>
        </w:rPr>
        <w:t xml:space="preserve">. </w:t>
      </w:r>
      <w:bookmarkStart w:id="8" w:name="ScopingChronologiesIMRs"/>
      <w:r w:rsidR="00005CA5" w:rsidRPr="001C7B04">
        <w:rPr>
          <w:rFonts w:cstheme="minorHAnsi"/>
          <w:b/>
          <w:u w:val="single"/>
        </w:rPr>
        <w:t xml:space="preserve">SCOPING, </w:t>
      </w:r>
      <w:proofErr w:type="gramStart"/>
      <w:r w:rsidR="00005CA5" w:rsidRPr="001C7B04">
        <w:rPr>
          <w:rFonts w:cstheme="minorHAnsi"/>
          <w:b/>
          <w:u w:val="single"/>
        </w:rPr>
        <w:t>CHRONOLOGIES</w:t>
      </w:r>
      <w:proofErr w:type="gramEnd"/>
      <w:r w:rsidR="00005CA5" w:rsidRPr="001C7B04">
        <w:rPr>
          <w:rFonts w:cstheme="minorHAnsi"/>
          <w:b/>
          <w:u w:val="single"/>
        </w:rPr>
        <w:t xml:space="preserve"> and </w:t>
      </w:r>
      <w:r w:rsidR="00AB5427">
        <w:rPr>
          <w:rFonts w:cstheme="minorHAnsi"/>
          <w:b/>
          <w:u w:val="single"/>
        </w:rPr>
        <w:t>INDIVIDUAL</w:t>
      </w:r>
      <w:r w:rsidR="00005CA5" w:rsidRPr="001C7B04">
        <w:rPr>
          <w:rFonts w:cstheme="minorHAnsi"/>
          <w:b/>
          <w:u w:val="single"/>
        </w:rPr>
        <w:t xml:space="preserve"> MANAGE</w:t>
      </w:r>
      <w:r w:rsidR="001C7B04" w:rsidRPr="001C7B04">
        <w:rPr>
          <w:rFonts w:cstheme="minorHAnsi"/>
          <w:b/>
          <w:u w:val="single"/>
        </w:rPr>
        <w:t>MENT REVIEWS</w:t>
      </w:r>
      <w:r w:rsidR="00FE1577">
        <w:rPr>
          <w:rFonts w:cstheme="minorHAnsi"/>
          <w:b/>
          <w:u w:val="single"/>
        </w:rPr>
        <w:t xml:space="preserve"> [IMRs]</w:t>
      </w:r>
      <w:bookmarkEnd w:id="8"/>
    </w:p>
    <w:p w14:paraId="54D0E480" w14:textId="298E353F" w:rsidR="00005CA5" w:rsidRDefault="004D28E8" w:rsidP="00005CA5">
      <w:pPr>
        <w:ind w:right="240"/>
        <w:jc w:val="both"/>
        <w:rPr>
          <w:rFonts w:eastAsia="Times New Roman" w:cstheme="minorHAnsi"/>
          <w:bCs/>
          <w:lang w:eastAsia="en-GB"/>
        </w:rPr>
      </w:pPr>
      <w:r>
        <w:rPr>
          <w:rFonts w:cstheme="minorHAnsi"/>
        </w:rPr>
        <w:t>1</w:t>
      </w:r>
      <w:r w:rsidR="009E5FB4">
        <w:rPr>
          <w:rFonts w:cstheme="minorHAnsi"/>
        </w:rPr>
        <w:t>0</w:t>
      </w:r>
      <w:r w:rsidR="00005CA5">
        <w:rPr>
          <w:rFonts w:cstheme="minorHAnsi"/>
        </w:rPr>
        <w:t xml:space="preserve">.1 Prior to the </w:t>
      </w:r>
      <w:r w:rsidR="0004177E">
        <w:rPr>
          <w:rFonts w:cstheme="minorHAnsi"/>
        </w:rPr>
        <w:t>decision-making</w:t>
      </w:r>
      <w:r w:rsidR="00005CA5">
        <w:rPr>
          <w:rFonts w:cstheme="minorHAnsi"/>
        </w:rPr>
        <w:t xml:space="preserve"> panel a request for information</w:t>
      </w:r>
      <w:r w:rsidR="00030542">
        <w:rPr>
          <w:rFonts w:cstheme="minorHAnsi"/>
        </w:rPr>
        <w:t>, known as a 'data trawl'</w:t>
      </w:r>
      <w:r w:rsidR="00005CA5">
        <w:rPr>
          <w:rFonts w:cstheme="minorHAnsi"/>
        </w:rPr>
        <w:t xml:space="preserve"> will be sent to the full partnership </w:t>
      </w:r>
      <w:proofErr w:type="gramStart"/>
      <w:r w:rsidR="00005CA5">
        <w:rPr>
          <w:rFonts w:cstheme="minorHAnsi"/>
        </w:rPr>
        <w:t>in order to</w:t>
      </w:r>
      <w:proofErr w:type="gramEnd"/>
      <w:r w:rsidR="00005CA5">
        <w:rPr>
          <w:rFonts w:cstheme="minorHAnsi"/>
        </w:rPr>
        <w:t xml:space="preserve"> better inform the decision panel as to wheth</w:t>
      </w:r>
      <w:r w:rsidR="00FE1577">
        <w:rPr>
          <w:rFonts w:cstheme="minorHAnsi"/>
        </w:rPr>
        <w:t xml:space="preserve">er a DHR should be </w:t>
      </w:r>
      <w:r w:rsidR="00030542">
        <w:rPr>
          <w:rFonts w:cstheme="minorHAnsi"/>
        </w:rPr>
        <w:t>commissioned</w:t>
      </w:r>
      <w:r w:rsidR="00FE1577">
        <w:rPr>
          <w:rFonts w:cstheme="minorHAnsi"/>
        </w:rPr>
        <w:t>.</w:t>
      </w:r>
      <w:r w:rsidR="00005CA5">
        <w:rPr>
          <w:rFonts w:cstheme="minorHAnsi"/>
        </w:rPr>
        <w:t xml:space="preserve"> </w:t>
      </w:r>
      <w:r w:rsidR="00005CA5" w:rsidRPr="00005CA5">
        <w:rPr>
          <w:rFonts w:eastAsia="Times New Roman" w:cstheme="minorHAnsi"/>
          <w:bCs/>
          <w:lang w:eastAsia="en-GB"/>
        </w:rPr>
        <w:t>Details of the victim</w:t>
      </w:r>
      <w:r w:rsidR="00CF1262">
        <w:rPr>
          <w:rFonts w:eastAsia="Times New Roman" w:cstheme="minorHAnsi"/>
          <w:bCs/>
          <w:lang w:eastAsia="en-GB"/>
        </w:rPr>
        <w:t>(s)</w:t>
      </w:r>
      <w:r w:rsidR="00005CA5" w:rsidRPr="00005CA5">
        <w:rPr>
          <w:rFonts w:eastAsia="Times New Roman" w:cstheme="minorHAnsi"/>
          <w:bCs/>
          <w:lang w:eastAsia="en-GB"/>
        </w:rPr>
        <w:t xml:space="preserve">, alleged perpetrator(s) and any children will be sent to partners via secure email asking them to ascertain whether they have had any involvement with the named persons and requesting them to secure any </w:t>
      </w:r>
      <w:r w:rsidR="003E5A49">
        <w:rPr>
          <w:rFonts w:eastAsia="Times New Roman" w:cstheme="minorHAnsi"/>
          <w:bCs/>
          <w:lang w:eastAsia="en-GB"/>
        </w:rPr>
        <w:t xml:space="preserve">relevant </w:t>
      </w:r>
      <w:r w:rsidR="00005CA5" w:rsidRPr="00005CA5">
        <w:rPr>
          <w:rFonts w:eastAsia="Times New Roman" w:cstheme="minorHAnsi"/>
          <w:bCs/>
          <w:lang w:eastAsia="en-GB"/>
        </w:rPr>
        <w:t xml:space="preserve">documentation associated with the case, in line with individual agencies policies </w:t>
      </w:r>
      <w:r w:rsidR="00CB22D6">
        <w:rPr>
          <w:rFonts w:eastAsia="Times New Roman" w:cstheme="minorHAnsi"/>
          <w:bCs/>
          <w:lang w:eastAsia="en-GB"/>
        </w:rPr>
        <w:t>and procedures.</w:t>
      </w:r>
    </w:p>
    <w:p w14:paraId="0FC1C9D0" w14:textId="6554A64C" w:rsidR="007B6C0A" w:rsidRDefault="007B6C0A" w:rsidP="00005CA5">
      <w:pPr>
        <w:ind w:right="240"/>
        <w:jc w:val="both"/>
        <w:rPr>
          <w:rFonts w:eastAsia="Times New Roman" w:cstheme="minorHAnsi"/>
          <w:bCs/>
          <w:lang w:eastAsia="en-GB"/>
        </w:rPr>
      </w:pPr>
      <w:r>
        <w:rPr>
          <w:rFonts w:eastAsia="Times New Roman" w:cstheme="minorHAnsi"/>
          <w:bCs/>
          <w:lang w:eastAsia="en-GB"/>
        </w:rPr>
        <w:t>1</w:t>
      </w:r>
      <w:r w:rsidR="009E5FB4">
        <w:rPr>
          <w:rFonts w:eastAsia="Times New Roman" w:cstheme="minorHAnsi"/>
          <w:bCs/>
          <w:lang w:eastAsia="en-GB"/>
        </w:rPr>
        <w:t>0</w:t>
      </w:r>
      <w:r>
        <w:rPr>
          <w:rFonts w:eastAsia="Times New Roman" w:cstheme="minorHAnsi"/>
          <w:bCs/>
          <w:lang w:eastAsia="en-GB"/>
        </w:rPr>
        <w:t>.</w:t>
      </w:r>
      <w:r w:rsidR="00443705">
        <w:rPr>
          <w:rFonts w:eastAsia="Times New Roman" w:cstheme="minorHAnsi"/>
          <w:bCs/>
          <w:lang w:eastAsia="en-GB"/>
        </w:rPr>
        <w:t>2</w:t>
      </w:r>
      <w:r>
        <w:rPr>
          <w:rFonts w:eastAsia="Times New Roman" w:cstheme="minorHAnsi"/>
          <w:bCs/>
          <w:lang w:eastAsia="en-GB"/>
        </w:rPr>
        <w:t xml:space="preserve"> </w:t>
      </w:r>
      <w:r w:rsidR="0060537A">
        <w:rPr>
          <w:rFonts w:eastAsia="Times New Roman" w:cstheme="minorHAnsi"/>
          <w:bCs/>
          <w:lang w:eastAsia="en-GB"/>
        </w:rPr>
        <w:t>At the first panel meeting t</w:t>
      </w:r>
      <w:r w:rsidR="004A3366">
        <w:rPr>
          <w:rFonts w:eastAsia="Times New Roman" w:cstheme="minorHAnsi"/>
          <w:bCs/>
          <w:lang w:eastAsia="en-GB"/>
        </w:rPr>
        <w:t>he chair</w:t>
      </w:r>
      <w:r w:rsidR="006F685F">
        <w:rPr>
          <w:rFonts w:eastAsia="Times New Roman" w:cstheme="minorHAnsi"/>
          <w:bCs/>
          <w:lang w:eastAsia="en-GB"/>
        </w:rPr>
        <w:t xml:space="preserve"> and review panel should consider in each </w:t>
      </w:r>
      <w:r w:rsidR="006C7EF8">
        <w:rPr>
          <w:rFonts w:eastAsia="Times New Roman" w:cstheme="minorHAnsi"/>
          <w:bCs/>
          <w:lang w:eastAsia="en-GB"/>
        </w:rPr>
        <w:t>case</w:t>
      </w:r>
      <w:r w:rsidR="006F685F">
        <w:rPr>
          <w:rFonts w:eastAsia="Times New Roman" w:cstheme="minorHAnsi"/>
          <w:bCs/>
          <w:lang w:eastAsia="en-GB"/>
        </w:rPr>
        <w:t xml:space="preserve"> the scope of the review process and </w:t>
      </w:r>
      <w:r w:rsidR="005F38EB">
        <w:rPr>
          <w:rFonts w:eastAsia="Times New Roman" w:cstheme="minorHAnsi"/>
          <w:bCs/>
          <w:lang w:eastAsia="en-GB"/>
        </w:rPr>
        <w:t xml:space="preserve">begin to </w:t>
      </w:r>
      <w:r w:rsidR="006F685F">
        <w:rPr>
          <w:rFonts w:eastAsia="Times New Roman" w:cstheme="minorHAnsi"/>
          <w:bCs/>
          <w:lang w:eastAsia="en-GB"/>
        </w:rPr>
        <w:t>draw up clear terms of reference which are proportionate to the nature of the homicide</w:t>
      </w:r>
      <w:r w:rsidR="00F8734D">
        <w:rPr>
          <w:rFonts w:eastAsia="Times New Roman" w:cstheme="minorHAnsi"/>
          <w:bCs/>
          <w:lang w:eastAsia="en-GB"/>
        </w:rPr>
        <w:t xml:space="preserve">, </w:t>
      </w:r>
      <w:r w:rsidR="00307531">
        <w:rPr>
          <w:rFonts w:eastAsia="Times New Roman" w:cstheme="minorHAnsi"/>
          <w:bCs/>
          <w:lang w:eastAsia="en-GB"/>
        </w:rPr>
        <w:t>bearing in mind all the information gathered so far by the data trawl.</w:t>
      </w:r>
      <w:r w:rsidR="004A3024">
        <w:rPr>
          <w:rFonts w:eastAsia="Times New Roman" w:cstheme="minorHAnsi"/>
          <w:bCs/>
          <w:lang w:eastAsia="en-GB"/>
        </w:rPr>
        <w:t xml:space="preserve"> The scope of the review is based on </w:t>
      </w:r>
      <w:r w:rsidR="004B619B">
        <w:rPr>
          <w:rFonts w:eastAsia="Times New Roman" w:cstheme="minorHAnsi"/>
          <w:bCs/>
          <w:lang w:eastAsia="en-GB"/>
        </w:rPr>
        <w:t>information</w:t>
      </w:r>
      <w:r w:rsidR="009E0978">
        <w:rPr>
          <w:rFonts w:eastAsia="Times New Roman" w:cstheme="minorHAnsi"/>
          <w:bCs/>
          <w:lang w:eastAsia="en-GB"/>
        </w:rPr>
        <w:t xml:space="preserve"> presented to the author and panel</w:t>
      </w:r>
      <w:r w:rsidR="004B619B">
        <w:rPr>
          <w:rFonts w:eastAsia="Times New Roman" w:cstheme="minorHAnsi"/>
          <w:bCs/>
          <w:lang w:eastAsia="en-GB"/>
        </w:rPr>
        <w:t xml:space="preserve"> and can go back as many years as </w:t>
      </w:r>
      <w:r w:rsidR="0042175C">
        <w:rPr>
          <w:rFonts w:eastAsia="Times New Roman" w:cstheme="minorHAnsi"/>
          <w:bCs/>
          <w:lang w:eastAsia="en-GB"/>
        </w:rPr>
        <w:t>required</w:t>
      </w:r>
      <w:r w:rsidR="009E0978">
        <w:rPr>
          <w:rFonts w:eastAsia="Times New Roman" w:cstheme="minorHAnsi"/>
          <w:bCs/>
          <w:lang w:eastAsia="en-GB"/>
        </w:rPr>
        <w:t xml:space="preserve">. The scope is usually set at this stage however if further information is </w:t>
      </w:r>
      <w:r w:rsidR="009E0978">
        <w:rPr>
          <w:rFonts w:eastAsia="Times New Roman" w:cstheme="minorHAnsi"/>
          <w:bCs/>
          <w:lang w:eastAsia="en-GB"/>
        </w:rPr>
        <w:lastRenderedPageBreak/>
        <w:t>revealed then the scope may need to change, this should be agreed by the panel and documented in the minutes.</w:t>
      </w:r>
    </w:p>
    <w:p w14:paraId="2847EC96" w14:textId="791D5179" w:rsidR="002F0773" w:rsidRDefault="002F0773" w:rsidP="00005CA5">
      <w:pPr>
        <w:ind w:right="240"/>
        <w:jc w:val="both"/>
        <w:rPr>
          <w:rFonts w:eastAsia="Times New Roman" w:cstheme="minorHAnsi"/>
          <w:bCs/>
          <w:lang w:eastAsia="en-GB"/>
        </w:rPr>
      </w:pPr>
      <w:r>
        <w:rPr>
          <w:rFonts w:eastAsia="Times New Roman" w:cstheme="minorHAnsi"/>
          <w:bCs/>
          <w:lang w:eastAsia="en-GB"/>
        </w:rPr>
        <w:t>1</w:t>
      </w:r>
      <w:r w:rsidR="009E5FB4">
        <w:rPr>
          <w:rFonts w:eastAsia="Times New Roman" w:cstheme="minorHAnsi"/>
          <w:bCs/>
          <w:lang w:eastAsia="en-GB"/>
        </w:rPr>
        <w:t>0</w:t>
      </w:r>
      <w:r>
        <w:rPr>
          <w:rFonts w:eastAsia="Times New Roman" w:cstheme="minorHAnsi"/>
          <w:bCs/>
          <w:lang w:eastAsia="en-GB"/>
        </w:rPr>
        <w:t xml:space="preserve">.3 </w:t>
      </w:r>
      <w:r w:rsidRPr="002F0773">
        <w:rPr>
          <w:rFonts w:eastAsia="Times New Roman" w:cstheme="minorHAnsi"/>
          <w:bCs/>
          <w:lang w:eastAsia="en-GB"/>
        </w:rPr>
        <w:t>The terms of reference for each review will be agreed upon by the Chair/Author, LDAP business manager and approved at the first Panel meeting.</w:t>
      </w:r>
      <w:r>
        <w:rPr>
          <w:rFonts w:eastAsia="Times New Roman" w:cstheme="minorHAnsi"/>
          <w:bCs/>
          <w:lang w:eastAsia="en-GB"/>
        </w:rPr>
        <w:t xml:space="preserve"> A template for the terms of reference is available in </w:t>
      </w:r>
      <w:r w:rsidR="00972E98">
        <w:rPr>
          <w:rFonts w:eastAsia="Times New Roman" w:cstheme="minorHAnsi"/>
          <w:bCs/>
          <w:lang w:eastAsia="en-GB"/>
        </w:rPr>
        <w:t xml:space="preserve">section </w:t>
      </w:r>
      <w:r w:rsidR="000C0A8E">
        <w:rPr>
          <w:rFonts w:eastAsia="Times New Roman" w:cstheme="minorHAnsi"/>
          <w:bCs/>
          <w:lang w:eastAsia="en-GB"/>
        </w:rPr>
        <w:t>17.1</w:t>
      </w:r>
      <w:r w:rsidR="000D52E9">
        <w:rPr>
          <w:rFonts w:eastAsia="Times New Roman" w:cstheme="minorHAnsi"/>
          <w:bCs/>
          <w:lang w:eastAsia="en-GB"/>
        </w:rPr>
        <w:t>.</w:t>
      </w:r>
      <w:r w:rsidR="00972E98" w:rsidRPr="00972E98">
        <w:rPr>
          <w:rFonts w:eastAsia="Times New Roman" w:cstheme="minorHAnsi"/>
          <w:bCs/>
          <w:lang w:eastAsia="en-GB"/>
        </w:rPr>
        <w:t xml:space="preserve"> </w:t>
      </w:r>
      <w:r>
        <w:rPr>
          <w:rFonts w:eastAsia="Times New Roman" w:cstheme="minorHAnsi"/>
          <w:bCs/>
          <w:lang w:eastAsia="en-GB"/>
        </w:rPr>
        <w:t xml:space="preserve"> </w:t>
      </w:r>
    </w:p>
    <w:p w14:paraId="22BF8D3A" w14:textId="404B6920" w:rsidR="00005CA5" w:rsidRPr="00005CA5" w:rsidRDefault="004D28E8" w:rsidP="00E6376E">
      <w:pPr>
        <w:ind w:right="240"/>
        <w:jc w:val="both"/>
        <w:rPr>
          <w:rFonts w:eastAsia="Times New Roman" w:cstheme="minorHAnsi"/>
          <w:lang w:eastAsia="en-GB"/>
        </w:rPr>
      </w:pPr>
      <w:r>
        <w:rPr>
          <w:rFonts w:eastAsia="Times New Roman" w:cstheme="minorHAnsi"/>
          <w:bCs/>
          <w:lang w:eastAsia="en-GB"/>
        </w:rPr>
        <w:t>1</w:t>
      </w:r>
      <w:r w:rsidR="009E5FB4">
        <w:rPr>
          <w:rFonts w:eastAsia="Times New Roman" w:cstheme="minorHAnsi"/>
          <w:bCs/>
          <w:lang w:eastAsia="en-GB"/>
        </w:rPr>
        <w:t>0</w:t>
      </w:r>
      <w:r w:rsidR="00005CA5">
        <w:rPr>
          <w:rFonts w:eastAsia="Times New Roman" w:cstheme="minorHAnsi"/>
          <w:bCs/>
          <w:lang w:eastAsia="en-GB"/>
        </w:rPr>
        <w:t>.</w:t>
      </w:r>
      <w:r w:rsidR="004540AD">
        <w:rPr>
          <w:rFonts w:eastAsia="Times New Roman" w:cstheme="minorHAnsi"/>
          <w:bCs/>
          <w:lang w:eastAsia="en-GB"/>
        </w:rPr>
        <w:t>4</w:t>
      </w:r>
      <w:r w:rsidR="00005CA5">
        <w:rPr>
          <w:rFonts w:eastAsia="Times New Roman" w:cstheme="minorHAnsi"/>
          <w:bCs/>
          <w:lang w:eastAsia="en-GB"/>
        </w:rPr>
        <w:t xml:space="preserve"> </w:t>
      </w:r>
      <w:r w:rsidR="00005CA5" w:rsidRPr="00005CA5">
        <w:rPr>
          <w:rFonts w:eastAsia="Times New Roman" w:cstheme="minorHAnsi"/>
          <w:lang w:eastAsia="en-GB"/>
        </w:rPr>
        <w:t>A</w:t>
      </w:r>
      <w:r w:rsidR="006C7EF8">
        <w:rPr>
          <w:rFonts w:eastAsia="Times New Roman" w:cstheme="minorHAnsi"/>
          <w:lang w:eastAsia="en-GB"/>
        </w:rPr>
        <w:t xml:space="preserve"> </w:t>
      </w:r>
      <w:r w:rsidR="00005CA5" w:rsidRPr="00005CA5">
        <w:rPr>
          <w:rFonts w:eastAsia="Times New Roman" w:cstheme="minorHAnsi"/>
          <w:lang w:eastAsia="en-GB"/>
        </w:rPr>
        <w:t>template for the chronology</w:t>
      </w:r>
      <w:r w:rsidR="00794909">
        <w:rPr>
          <w:rFonts w:eastAsia="Times New Roman" w:cstheme="minorHAnsi"/>
          <w:lang w:eastAsia="en-GB"/>
        </w:rPr>
        <w:t xml:space="preserve"> to gather information within the scoping timeframe</w:t>
      </w:r>
      <w:r w:rsidR="00005CA5" w:rsidRPr="00005CA5">
        <w:rPr>
          <w:rFonts w:eastAsia="Times New Roman" w:cstheme="minorHAnsi"/>
          <w:lang w:eastAsia="en-GB"/>
        </w:rPr>
        <w:t xml:space="preserve"> will be sent out to all panel members</w:t>
      </w:r>
      <w:r w:rsidR="00BB7F4E">
        <w:rPr>
          <w:rFonts w:eastAsia="Times New Roman" w:cstheme="minorHAnsi"/>
          <w:lang w:eastAsia="en-GB"/>
        </w:rPr>
        <w:t>,</w:t>
      </w:r>
      <w:r w:rsidR="00025D0D">
        <w:rPr>
          <w:rFonts w:eastAsia="Times New Roman" w:cstheme="minorHAnsi"/>
          <w:lang w:eastAsia="en-GB"/>
        </w:rPr>
        <w:t xml:space="preserve"> with a </w:t>
      </w:r>
      <w:r w:rsidR="00E4289A">
        <w:rPr>
          <w:rFonts w:eastAsia="Times New Roman" w:cstheme="minorHAnsi"/>
          <w:lang w:eastAsia="en-GB"/>
        </w:rPr>
        <w:t>deadline for completion as determined by the Review Panel.</w:t>
      </w:r>
    </w:p>
    <w:p w14:paraId="5E386B1C" w14:textId="0C4499FA" w:rsidR="00854746" w:rsidRPr="001910A3" w:rsidRDefault="004D28E8" w:rsidP="00854746">
      <w:pPr>
        <w:spacing w:after="0"/>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0</w:t>
      </w:r>
      <w:r w:rsidR="00854746">
        <w:rPr>
          <w:rFonts w:eastAsia="Times New Roman" w:cstheme="minorHAnsi"/>
          <w:lang w:eastAsia="en-GB"/>
        </w:rPr>
        <w:t>.</w:t>
      </w:r>
      <w:r w:rsidR="004540AD">
        <w:rPr>
          <w:rFonts w:eastAsia="Times New Roman" w:cstheme="minorHAnsi"/>
          <w:lang w:eastAsia="en-GB"/>
        </w:rPr>
        <w:t>5</w:t>
      </w:r>
      <w:r w:rsidR="00854746" w:rsidRPr="001910A3">
        <w:rPr>
          <w:rFonts w:eastAsia="Times New Roman" w:cstheme="minorHAnsi"/>
          <w:lang w:eastAsia="en-GB"/>
        </w:rPr>
        <w:t xml:space="preserve"> Once the chronologies have been returned, a merged chronological timeline should be produced by the </w:t>
      </w:r>
      <w:r w:rsidR="00854746">
        <w:rPr>
          <w:rFonts w:eastAsia="Times New Roman" w:cstheme="minorHAnsi"/>
          <w:lang w:eastAsia="en-GB"/>
        </w:rPr>
        <w:t xml:space="preserve">LDAP </w:t>
      </w:r>
      <w:r w:rsidR="00DC1D3E">
        <w:rPr>
          <w:rFonts w:eastAsia="Times New Roman" w:cstheme="minorHAnsi"/>
          <w:lang w:eastAsia="en-GB"/>
        </w:rPr>
        <w:t xml:space="preserve">Senior </w:t>
      </w:r>
      <w:r w:rsidR="00854746" w:rsidRPr="001910A3">
        <w:rPr>
          <w:rFonts w:eastAsia="Times New Roman" w:cstheme="minorHAnsi"/>
          <w:lang w:eastAsia="en-GB"/>
        </w:rPr>
        <w:t xml:space="preserve">Business Support </w:t>
      </w:r>
      <w:r w:rsidR="00DC1D3E">
        <w:rPr>
          <w:rFonts w:eastAsia="Times New Roman" w:cstheme="minorHAnsi"/>
          <w:lang w:eastAsia="en-GB"/>
        </w:rPr>
        <w:t>Officer</w:t>
      </w:r>
      <w:r w:rsidR="00854746" w:rsidRPr="001910A3">
        <w:rPr>
          <w:rFonts w:eastAsia="Times New Roman" w:cstheme="minorHAnsi"/>
          <w:lang w:eastAsia="en-GB"/>
        </w:rPr>
        <w:t>. This merged chronology will then be sent to the DHR panel members.</w:t>
      </w:r>
    </w:p>
    <w:p w14:paraId="358BCFDA" w14:textId="77777777" w:rsidR="00005CA5" w:rsidRPr="00005CA5" w:rsidRDefault="00005CA5" w:rsidP="00CB22D6">
      <w:pPr>
        <w:spacing w:after="0"/>
        <w:ind w:right="240"/>
        <w:jc w:val="both"/>
        <w:rPr>
          <w:rFonts w:eastAsia="Times New Roman" w:cstheme="minorHAnsi"/>
          <w:lang w:eastAsia="en-GB"/>
        </w:rPr>
      </w:pPr>
    </w:p>
    <w:p w14:paraId="4FB1B5A3" w14:textId="5D55CD28" w:rsidR="00005CA5" w:rsidRDefault="004D28E8" w:rsidP="001E142E">
      <w:pPr>
        <w:spacing w:after="0"/>
        <w:ind w:right="240"/>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0</w:t>
      </w:r>
      <w:r w:rsidR="001910A3">
        <w:rPr>
          <w:rFonts w:eastAsia="Times New Roman" w:cstheme="minorHAnsi"/>
          <w:lang w:eastAsia="en-GB"/>
        </w:rPr>
        <w:t>.</w:t>
      </w:r>
      <w:r w:rsidR="004540AD">
        <w:rPr>
          <w:rFonts w:eastAsia="Times New Roman" w:cstheme="minorHAnsi"/>
          <w:lang w:eastAsia="en-GB"/>
        </w:rPr>
        <w:t>6</w:t>
      </w:r>
      <w:r w:rsidR="00005CA5" w:rsidRPr="00005CA5">
        <w:rPr>
          <w:rFonts w:eastAsia="Times New Roman" w:cstheme="minorHAnsi"/>
          <w:lang w:eastAsia="en-GB"/>
        </w:rPr>
        <w:t xml:space="preserve"> </w:t>
      </w:r>
      <w:r w:rsidR="00A6145B">
        <w:rPr>
          <w:rFonts w:eastAsia="Times New Roman" w:cstheme="minorHAnsi"/>
          <w:lang w:eastAsia="en-GB"/>
        </w:rPr>
        <w:t>It is then decided which</w:t>
      </w:r>
      <w:r w:rsidR="00005CA5" w:rsidRPr="00005CA5">
        <w:rPr>
          <w:rFonts w:eastAsia="Times New Roman" w:cstheme="minorHAnsi"/>
          <w:lang w:eastAsia="en-GB"/>
        </w:rPr>
        <w:t xml:space="preserve"> agenc</w:t>
      </w:r>
      <w:r w:rsidR="00A6145B">
        <w:rPr>
          <w:rFonts w:eastAsia="Times New Roman" w:cstheme="minorHAnsi"/>
          <w:lang w:eastAsia="en-GB"/>
        </w:rPr>
        <w:t xml:space="preserve">ies need to complete and </w:t>
      </w:r>
      <w:r w:rsidR="00F5225F">
        <w:rPr>
          <w:rFonts w:eastAsia="Times New Roman" w:cstheme="minorHAnsi"/>
          <w:lang w:eastAsia="en-GB"/>
        </w:rPr>
        <w:t>an</w:t>
      </w:r>
      <w:r w:rsidR="00F5225F" w:rsidRPr="00005CA5">
        <w:rPr>
          <w:rFonts w:eastAsia="Times New Roman" w:cstheme="minorHAnsi"/>
          <w:lang w:eastAsia="en-GB"/>
        </w:rPr>
        <w:t xml:space="preserve"> </w:t>
      </w:r>
      <w:r w:rsidR="00005CA5" w:rsidRPr="00005CA5">
        <w:rPr>
          <w:rFonts w:eastAsia="Times New Roman" w:cstheme="minorHAnsi"/>
          <w:lang w:eastAsia="en-GB"/>
        </w:rPr>
        <w:t>IMR</w:t>
      </w:r>
      <w:r w:rsidR="00A6145B">
        <w:rPr>
          <w:rFonts w:eastAsia="Times New Roman" w:cstheme="minorHAnsi"/>
          <w:lang w:eastAsia="en-GB"/>
        </w:rPr>
        <w:t xml:space="preserve"> or summary report</w:t>
      </w:r>
      <w:r w:rsidR="00005CA5" w:rsidRPr="00005CA5">
        <w:rPr>
          <w:rFonts w:eastAsia="Times New Roman" w:cstheme="minorHAnsi"/>
          <w:lang w:eastAsia="en-GB"/>
        </w:rPr>
        <w:t xml:space="preserve">, within the agreed timescales and return to the </w:t>
      </w:r>
      <w:r w:rsidR="00DC1D3E">
        <w:rPr>
          <w:rFonts w:eastAsia="Times New Roman" w:cstheme="minorHAnsi"/>
          <w:lang w:eastAsia="en-GB"/>
        </w:rPr>
        <w:t xml:space="preserve">LDAP Senior </w:t>
      </w:r>
      <w:r w:rsidR="00005CA5" w:rsidRPr="00005CA5">
        <w:rPr>
          <w:rFonts w:eastAsia="Times New Roman" w:cstheme="minorHAnsi"/>
          <w:lang w:eastAsia="en-GB"/>
        </w:rPr>
        <w:t>B</w:t>
      </w:r>
      <w:r w:rsidR="00E876AD">
        <w:rPr>
          <w:rFonts w:eastAsia="Times New Roman" w:cstheme="minorHAnsi"/>
          <w:lang w:eastAsia="en-GB"/>
        </w:rPr>
        <w:t xml:space="preserve">usiness Support </w:t>
      </w:r>
      <w:r w:rsidR="00DC1D3E">
        <w:rPr>
          <w:rFonts w:eastAsia="Times New Roman" w:cstheme="minorHAnsi"/>
          <w:lang w:eastAsia="en-GB"/>
        </w:rPr>
        <w:t>Officer</w:t>
      </w:r>
      <w:r w:rsidR="00E876AD">
        <w:rPr>
          <w:rFonts w:eastAsia="Times New Roman" w:cstheme="minorHAnsi"/>
          <w:lang w:eastAsia="en-GB"/>
        </w:rPr>
        <w:t xml:space="preserve">. </w:t>
      </w:r>
      <w:r w:rsidR="00005CA5" w:rsidRPr="00005CA5">
        <w:rPr>
          <w:rFonts w:eastAsia="Times New Roman" w:cstheme="minorHAnsi"/>
          <w:lang w:eastAsia="en-GB"/>
        </w:rPr>
        <w:t>Each agency is to ensure that their IMR</w:t>
      </w:r>
      <w:r w:rsidR="00A6145B">
        <w:rPr>
          <w:rFonts w:eastAsia="Times New Roman" w:cstheme="minorHAnsi"/>
          <w:lang w:eastAsia="en-GB"/>
        </w:rPr>
        <w:t xml:space="preserve"> or summary</w:t>
      </w:r>
      <w:r w:rsidR="00005CA5" w:rsidRPr="00005CA5">
        <w:rPr>
          <w:rFonts w:eastAsia="Times New Roman" w:cstheme="minorHAnsi"/>
          <w:lang w:eastAsia="en-GB"/>
        </w:rPr>
        <w:t xml:space="preserve"> is quality assured internally before submitting to the Review Panel</w:t>
      </w:r>
      <w:r w:rsidR="003E5A49">
        <w:rPr>
          <w:rFonts w:eastAsia="Times New Roman" w:cstheme="minorHAnsi"/>
          <w:lang w:eastAsia="en-GB"/>
        </w:rPr>
        <w:t>.</w:t>
      </w:r>
      <w:r w:rsidR="00C32D39">
        <w:rPr>
          <w:rFonts w:eastAsia="Times New Roman" w:cstheme="minorHAnsi"/>
          <w:lang w:eastAsia="en-GB"/>
        </w:rPr>
        <w:t xml:space="preserve"> </w:t>
      </w:r>
      <w:r w:rsidR="003E5A49">
        <w:rPr>
          <w:rFonts w:eastAsia="Times New Roman" w:cstheme="minorHAnsi"/>
          <w:lang w:eastAsia="en-GB"/>
        </w:rPr>
        <w:t>The IMR/summary reports will then be quality assured by the Panel Legal Advisor prior to submission to the Chair/Author/Panel.</w:t>
      </w:r>
    </w:p>
    <w:p w14:paraId="5CE3D2C7" w14:textId="2B1A032C" w:rsidR="002E54AB" w:rsidRDefault="002E54AB" w:rsidP="001E142E">
      <w:pPr>
        <w:spacing w:after="0"/>
        <w:ind w:right="240"/>
        <w:jc w:val="both"/>
        <w:rPr>
          <w:rFonts w:eastAsia="Times New Roman" w:cstheme="minorHAnsi"/>
          <w:lang w:eastAsia="en-GB"/>
        </w:rPr>
      </w:pPr>
    </w:p>
    <w:p w14:paraId="1927E08C" w14:textId="550A4985" w:rsidR="002E54AB" w:rsidRPr="00005CA5" w:rsidRDefault="002E54AB" w:rsidP="002E54AB">
      <w:pPr>
        <w:spacing w:after="0"/>
        <w:ind w:right="240"/>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0</w:t>
      </w:r>
      <w:r>
        <w:rPr>
          <w:rFonts w:eastAsia="Times New Roman" w:cstheme="minorHAnsi"/>
          <w:lang w:eastAsia="en-GB"/>
        </w:rPr>
        <w:t>.</w:t>
      </w:r>
      <w:r w:rsidR="004540AD">
        <w:rPr>
          <w:rFonts w:eastAsia="Times New Roman" w:cstheme="minorHAnsi"/>
          <w:lang w:eastAsia="en-GB"/>
        </w:rPr>
        <w:t>7</w:t>
      </w:r>
      <w:r>
        <w:rPr>
          <w:rFonts w:eastAsia="Times New Roman" w:cstheme="minorHAnsi"/>
          <w:lang w:eastAsia="en-GB"/>
        </w:rPr>
        <w:t xml:space="preserve"> </w:t>
      </w:r>
      <w:r w:rsidRPr="00005CA5">
        <w:rPr>
          <w:rFonts w:eastAsia="Times New Roman" w:cstheme="minorHAnsi"/>
          <w:lang w:eastAsia="en-GB"/>
        </w:rPr>
        <w:t xml:space="preserve">Those conducting Chronologies and IMRs should not have been directly involved with the </w:t>
      </w:r>
      <w:r>
        <w:rPr>
          <w:rFonts w:eastAsia="Times New Roman" w:cstheme="minorHAnsi"/>
          <w:lang w:eastAsia="en-GB"/>
        </w:rPr>
        <w:t>named persons</w:t>
      </w:r>
      <w:r w:rsidRPr="00005CA5">
        <w:rPr>
          <w:rFonts w:eastAsia="Times New Roman" w:cstheme="minorHAnsi"/>
          <w:lang w:eastAsia="en-GB"/>
        </w:rPr>
        <w:t xml:space="preserve"> or either of their families and should not have been the immediate line manager of any staff involved.</w:t>
      </w:r>
    </w:p>
    <w:p w14:paraId="6F920714" w14:textId="77777777" w:rsidR="00005CA5" w:rsidRPr="00005CA5" w:rsidRDefault="00005CA5" w:rsidP="00CB22D6">
      <w:pPr>
        <w:spacing w:after="0"/>
        <w:rPr>
          <w:rFonts w:eastAsia="Times New Roman" w:cstheme="minorHAnsi"/>
          <w:lang w:eastAsia="en-GB"/>
        </w:rPr>
      </w:pPr>
    </w:p>
    <w:p w14:paraId="50267470" w14:textId="2BE25852" w:rsidR="00005CA5" w:rsidRPr="00005CA5" w:rsidRDefault="0060694D" w:rsidP="001E142E">
      <w:pPr>
        <w:spacing w:after="0"/>
        <w:ind w:right="240"/>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0</w:t>
      </w:r>
      <w:r w:rsidR="001910A3">
        <w:rPr>
          <w:rFonts w:eastAsia="Times New Roman" w:cstheme="minorHAnsi"/>
          <w:lang w:eastAsia="en-GB"/>
        </w:rPr>
        <w:t>.</w:t>
      </w:r>
      <w:r w:rsidR="004540AD">
        <w:rPr>
          <w:rFonts w:eastAsia="Times New Roman" w:cstheme="minorHAnsi"/>
          <w:lang w:eastAsia="en-GB"/>
        </w:rPr>
        <w:t>8</w:t>
      </w:r>
      <w:r w:rsidR="00005CA5" w:rsidRPr="00005CA5">
        <w:rPr>
          <w:rFonts w:eastAsia="Times New Roman" w:cstheme="minorHAnsi"/>
          <w:lang w:eastAsia="en-GB"/>
        </w:rPr>
        <w:t xml:space="preserve"> If IMR authors wish to interview agency staff </w:t>
      </w:r>
      <w:r w:rsidR="00005CA5" w:rsidRPr="00005CA5">
        <w:rPr>
          <w:rFonts w:eastAsia="Times New Roman" w:cstheme="minorHAnsi"/>
          <w:b/>
          <w:lang w:eastAsia="en-GB"/>
        </w:rPr>
        <w:t>contact should be made with the SIO</w:t>
      </w:r>
      <w:r w:rsidR="008A40D6" w:rsidRPr="008A40D6">
        <w:rPr>
          <w:rFonts w:eastAsia="Times New Roman" w:cstheme="minorHAnsi"/>
          <w:b/>
          <w:bCs/>
          <w:lang w:eastAsia="en-GB"/>
        </w:rPr>
        <w:t xml:space="preserve">, via the </w:t>
      </w:r>
      <w:r w:rsidR="00030542">
        <w:rPr>
          <w:rFonts w:eastAsia="Times New Roman" w:cstheme="minorHAnsi"/>
          <w:b/>
          <w:bCs/>
          <w:lang w:eastAsia="en-GB"/>
        </w:rPr>
        <w:t xml:space="preserve">Police </w:t>
      </w:r>
      <w:r w:rsidR="008A40D6" w:rsidRPr="008A40D6">
        <w:rPr>
          <w:rFonts w:eastAsia="Times New Roman" w:cstheme="minorHAnsi"/>
          <w:b/>
          <w:bCs/>
          <w:lang w:eastAsia="en-GB"/>
        </w:rPr>
        <w:t xml:space="preserve">DHR Panel Representative </w:t>
      </w:r>
      <w:r w:rsidR="00005CA5" w:rsidRPr="008A40D6">
        <w:rPr>
          <w:rFonts w:eastAsia="Times New Roman" w:cstheme="minorHAnsi"/>
          <w:b/>
          <w:bCs/>
          <w:lang w:eastAsia="en-GB"/>
        </w:rPr>
        <w:t>first</w:t>
      </w:r>
      <w:r w:rsidR="00005CA5" w:rsidRPr="00005CA5">
        <w:rPr>
          <w:rFonts w:eastAsia="Times New Roman" w:cstheme="minorHAnsi"/>
          <w:lang w:eastAsia="en-GB"/>
        </w:rPr>
        <w:t xml:space="preserve"> to ensure that it does not jeopardise any on-going criminal investigations. Additionally, material gathered by the review may be of benefit to the defen</w:t>
      </w:r>
      <w:r w:rsidR="00E876AD">
        <w:rPr>
          <w:rFonts w:eastAsia="Times New Roman" w:cstheme="minorHAnsi"/>
          <w:lang w:eastAsia="en-GB"/>
        </w:rPr>
        <w:t>ce in any criminal proceedings.</w:t>
      </w:r>
      <w:r w:rsidR="00005CA5" w:rsidRPr="00005CA5">
        <w:rPr>
          <w:rFonts w:eastAsia="Times New Roman" w:cstheme="minorHAnsi"/>
          <w:lang w:eastAsia="en-GB"/>
        </w:rPr>
        <w:t xml:space="preserve"> The Police disclosure officer and the Independent Chair must remain in contact </w:t>
      </w:r>
      <w:proofErr w:type="gramStart"/>
      <w:r w:rsidR="00005CA5" w:rsidRPr="00005CA5">
        <w:rPr>
          <w:rFonts w:eastAsia="Times New Roman" w:cstheme="minorHAnsi"/>
          <w:lang w:eastAsia="en-GB"/>
        </w:rPr>
        <w:t>with regard to</w:t>
      </w:r>
      <w:proofErr w:type="gramEnd"/>
      <w:r w:rsidR="00005CA5" w:rsidRPr="00005CA5">
        <w:rPr>
          <w:rFonts w:eastAsia="Times New Roman" w:cstheme="minorHAnsi"/>
          <w:lang w:eastAsia="en-GB"/>
        </w:rPr>
        <w:t xml:space="preserve"> such matters.</w:t>
      </w:r>
    </w:p>
    <w:p w14:paraId="6E4DD55C" w14:textId="77777777" w:rsidR="00005CA5" w:rsidRPr="00005CA5" w:rsidRDefault="00005CA5" w:rsidP="001E142E">
      <w:pPr>
        <w:spacing w:after="0"/>
        <w:ind w:right="240"/>
        <w:rPr>
          <w:rFonts w:eastAsia="Times New Roman" w:cstheme="minorHAnsi"/>
          <w:b/>
          <w:lang w:eastAsia="en-GB"/>
        </w:rPr>
      </w:pPr>
    </w:p>
    <w:p w14:paraId="3D740D8C" w14:textId="629B6A06" w:rsidR="00581D18" w:rsidRPr="001910A3" w:rsidRDefault="0060694D" w:rsidP="00581D18">
      <w:pPr>
        <w:tabs>
          <w:tab w:val="left" w:pos="1440"/>
        </w:tabs>
        <w:spacing w:after="0"/>
        <w:contextualSpacing/>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0</w:t>
      </w:r>
      <w:r w:rsidR="001910A3">
        <w:rPr>
          <w:rFonts w:eastAsia="Times New Roman" w:cstheme="minorHAnsi"/>
          <w:lang w:eastAsia="en-GB"/>
        </w:rPr>
        <w:t>.</w:t>
      </w:r>
      <w:r w:rsidR="004540AD">
        <w:rPr>
          <w:rFonts w:eastAsia="Times New Roman" w:cstheme="minorHAnsi"/>
          <w:lang w:eastAsia="en-GB"/>
        </w:rPr>
        <w:t>9</w:t>
      </w:r>
      <w:r w:rsidR="001910A3" w:rsidRPr="001910A3">
        <w:rPr>
          <w:rFonts w:eastAsia="Times New Roman" w:cstheme="minorHAnsi"/>
          <w:lang w:eastAsia="en-GB"/>
        </w:rPr>
        <w:t xml:space="preserve"> A </w:t>
      </w:r>
      <w:r w:rsidR="00251608">
        <w:rPr>
          <w:rFonts w:eastAsia="Times New Roman" w:cstheme="minorHAnsi"/>
          <w:lang w:eastAsia="en-GB"/>
        </w:rPr>
        <w:t>Practitioner Event</w:t>
      </w:r>
      <w:r w:rsidR="001910A3" w:rsidRPr="001910A3">
        <w:rPr>
          <w:rFonts w:eastAsia="Times New Roman" w:cstheme="minorHAnsi"/>
          <w:lang w:eastAsia="en-GB"/>
        </w:rPr>
        <w:t xml:space="preserve"> </w:t>
      </w:r>
      <w:r w:rsidR="00A6145B">
        <w:rPr>
          <w:rFonts w:eastAsia="Times New Roman" w:cstheme="minorHAnsi"/>
          <w:lang w:eastAsia="en-GB"/>
        </w:rPr>
        <w:t xml:space="preserve">may be held and can be decided on a </w:t>
      </w:r>
      <w:proofErr w:type="gramStart"/>
      <w:r w:rsidR="00A6145B">
        <w:rPr>
          <w:rFonts w:eastAsia="Times New Roman" w:cstheme="minorHAnsi"/>
          <w:lang w:eastAsia="en-GB"/>
        </w:rPr>
        <w:t>case by case</w:t>
      </w:r>
      <w:proofErr w:type="gramEnd"/>
      <w:r w:rsidR="00A6145B">
        <w:rPr>
          <w:rFonts w:eastAsia="Times New Roman" w:cstheme="minorHAnsi"/>
          <w:lang w:eastAsia="en-GB"/>
        </w:rPr>
        <w:t xml:space="preserve"> basis,</w:t>
      </w:r>
      <w:r w:rsidR="008F30F9">
        <w:rPr>
          <w:rFonts w:eastAsia="Times New Roman" w:cstheme="minorHAnsi"/>
          <w:lang w:eastAsia="en-GB"/>
        </w:rPr>
        <w:t xml:space="preserve"> to obtain the contribution</w:t>
      </w:r>
      <w:r w:rsidR="0043354B">
        <w:rPr>
          <w:rFonts w:eastAsia="Times New Roman" w:cstheme="minorHAnsi"/>
          <w:lang w:eastAsia="en-GB"/>
        </w:rPr>
        <w:t>s of</w:t>
      </w:r>
      <w:r w:rsidR="00A6145B">
        <w:rPr>
          <w:rFonts w:eastAsia="Times New Roman" w:cstheme="minorHAnsi"/>
          <w:lang w:eastAsia="en-GB"/>
        </w:rPr>
        <w:t xml:space="preserve"> the practitioners that had direct contact with the named persons subject to the review, their line managers if appropriate, the DA Business Manager, Legal advisor to the review and the chair/author.  It may be relevant for the IMR authors and panel members to also attend.</w:t>
      </w:r>
      <w:r w:rsidR="00785D99">
        <w:rPr>
          <w:rFonts w:eastAsia="Times New Roman" w:cstheme="minorHAnsi"/>
          <w:lang w:eastAsia="en-GB"/>
        </w:rPr>
        <w:t xml:space="preserve"> The purpose of the event is to understand </w:t>
      </w:r>
      <w:r w:rsidR="00AE5C65">
        <w:rPr>
          <w:rFonts w:eastAsia="Times New Roman" w:cstheme="minorHAnsi"/>
          <w:lang w:eastAsia="en-GB"/>
        </w:rPr>
        <w:t xml:space="preserve">the </w:t>
      </w:r>
      <w:r w:rsidR="001002D2">
        <w:rPr>
          <w:rFonts w:eastAsia="Times New Roman" w:cstheme="minorHAnsi"/>
          <w:lang w:eastAsia="en-GB"/>
        </w:rPr>
        <w:t>frontline</w:t>
      </w:r>
      <w:r w:rsidR="00AE5C65">
        <w:rPr>
          <w:rFonts w:eastAsia="Times New Roman" w:cstheme="minorHAnsi"/>
          <w:lang w:eastAsia="en-GB"/>
        </w:rPr>
        <w:t xml:space="preserve"> </w:t>
      </w:r>
      <w:r w:rsidR="00647D95">
        <w:rPr>
          <w:rFonts w:eastAsia="Times New Roman" w:cstheme="minorHAnsi"/>
          <w:lang w:eastAsia="en-GB"/>
        </w:rPr>
        <w:t>practitioners’</w:t>
      </w:r>
      <w:r w:rsidR="009D79DA">
        <w:rPr>
          <w:rFonts w:eastAsia="Times New Roman" w:cstheme="minorHAnsi"/>
          <w:lang w:eastAsia="en-GB"/>
        </w:rPr>
        <w:t xml:space="preserve"> contributions</w:t>
      </w:r>
      <w:r w:rsidR="00647D95">
        <w:rPr>
          <w:rFonts w:eastAsia="Times New Roman" w:cstheme="minorHAnsi"/>
          <w:lang w:eastAsia="en-GB"/>
        </w:rPr>
        <w:t>.</w:t>
      </w:r>
      <w:r w:rsidR="009D79DA">
        <w:rPr>
          <w:rFonts w:eastAsia="Times New Roman" w:cstheme="minorHAnsi"/>
          <w:lang w:eastAsia="en-GB"/>
        </w:rPr>
        <w:t xml:space="preserve"> </w:t>
      </w:r>
    </w:p>
    <w:p w14:paraId="68027863" w14:textId="725541C1" w:rsidR="00986B71" w:rsidRDefault="00986B71" w:rsidP="001E142E">
      <w:pPr>
        <w:tabs>
          <w:tab w:val="left" w:pos="1440"/>
        </w:tabs>
        <w:spacing w:after="0"/>
        <w:contextualSpacing/>
        <w:jc w:val="both"/>
        <w:rPr>
          <w:rFonts w:eastAsia="Times New Roman" w:cstheme="minorHAnsi"/>
          <w:lang w:eastAsia="en-GB"/>
        </w:rPr>
      </w:pPr>
    </w:p>
    <w:p w14:paraId="4BC88DF6" w14:textId="3E328DAC" w:rsidR="00986B71" w:rsidRPr="001910A3" w:rsidRDefault="00986B71" w:rsidP="001E142E">
      <w:pPr>
        <w:tabs>
          <w:tab w:val="left" w:pos="1440"/>
        </w:tabs>
        <w:spacing w:after="0"/>
        <w:contextualSpacing/>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0</w:t>
      </w:r>
      <w:r>
        <w:rPr>
          <w:rFonts w:eastAsia="Times New Roman" w:cstheme="minorHAnsi"/>
          <w:lang w:eastAsia="en-GB"/>
        </w:rPr>
        <w:t>.</w:t>
      </w:r>
      <w:r w:rsidR="004540AD">
        <w:rPr>
          <w:rFonts w:eastAsia="Times New Roman" w:cstheme="minorHAnsi"/>
          <w:lang w:eastAsia="en-GB"/>
        </w:rPr>
        <w:t>10</w:t>
      </w:r>
      <w:r>
        <w:rPr>
          <w:rFonts w:eastAsia="Times New Roman" w:cstheme="minorHAnsi"/>
          <w:lang w:eastAsia="en-GB"/>
        </w:rPr>
        <w:t xml:space="preserve"> </w:t>
      </w:r>
      <w:r w:rsidR="00A6145B">
        <w:rPr>
          <w:rFonts w:eastAsia="Times New Roman" w:cstheme="minorHAnsi"/>
          <w:lang w:eastAsia="en-GB"/>
        </w:rPr>
        <w:t>An</w:t>
      </w:r>
      <w:r w:rsidR="003954CE">
        <w:rPr>
          <w:rFonts w:eastAsia="Times New Roman" w:cstheme="minorHAnsi"/>
          <w:lang w:eastAsia="en-GB"/>
        </w:rPr>
        <w:t xml:space="preserve"> IMR Presentation Day </w:t>
      </w:r>
      <w:r w:rsidR="00A6145B">
        <w:rPr>
          <w:rFonts w:eastAsia="Times New Roman" w:cstheme="minorHAnsi"/>
          <w:lang w:eastAsia="en-GB"/>
        </w:rPr>
        <w:t>should be</w:t>
      </w:r>
      <w:r w:rsidR="003954CE">
        <w:rPr>
          <w:rFonts w:eastAsia="Times New Roman" w:cstheme="minorHAnsi"/>
          <w:lang w:eastAsia="en-GB"/>
        </w:rPr>
        <w:t xml:space="preserve"> held, for IMR Authors to present their IMRs</w:t>
      </w:r>
      <w:r w:rsidR="00A6145B">
        <w:rPr>
          <w:rFonts w:eastAsia="Times New Roman" w:cstheme="minorHAnsi"/>
          <w:lang w:eastAsia="en-GB"/>
        </w:rPr>
        <w:t xml:space="preserve"> or summaries</w:t>
      </w:r>
      <w:r w:rsidR="00B5786E">
        <w:rPr>
          <w:rFonts w:eastAsia="Times New Roman" w:cstheme="minorHAnsi"/>
          <w:lang w:eastAsia="en-GB"/>
        </w:rPr>
        <w:t>.</w:t>
      </w:r>
    </w:p>
    <w:p w14:paraId="557A46F9" w14:textId="77777777" w:rsidR="001910A3" w:rsidRPr="001910A3" w:rsidRDefault="001910A3" w:rsidP="001E142E">
      <w:pPr>
        <w:tabs>
          <w:tab w:val="left" w:pos="1440"/>
        </w:tabs>
        <w:spacing w:after="0"/>
        <w:contextualSpacing/>
        <w:jc w:val="both"/>
        <w:rPr>
          <w:rFonts w:eastAsia="Times New Roman" w:cstheme="minorHAnsi"/>
          <w:lang w:eastAsia="en-GB"/>
        </w:rPr>
      </w:pPr>
    </w:p>
    <w:p w14:paraId="5734DE41" w14:textId="0C9A2EA0" w:rsidR="001910A3" w:rsidRPr="001910A3" w:rsidRDefault="0060694D" w:rsidP="001E142E">
      <w:pPr>
        <w:spacing w:after="0"/>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0</w:t>
      </w:r>
      <w:r w:rsidR="001910A3">
        <w:rPr>
          <w:rFonts w:eastAsia="Times New Roman" w:cstheme="minorHAnsi"/>
          <w:lang w:eastAsia="en-GB"/>
        </w:rPr>
        <w:t>.1</w:t>
      </w:r>
      <w:r w:rsidR="004540AD">
        <w:rPr>
          <w:rFonts w:eastAsia="Times New Roman" w:cstheme="minorHAnsi"/>
          <w:lang w:eastAsia="en-GB"/>
        </w:rPr>
        <w:t>1</w:t>
      </w:r>
      <w:r w:rsidR="001910A3">
        <w:rPr>
          <w:rFonts w:eastAsia="Times New Roman" w:cstheme="minorHAnsi"/>
          <w:lang w:eastAsia="en-GB"/>
        </w:rPr>
        <w:t xml:space="preserve"> </w:t>
      </w:r>
      <w:r w:rsidR="001910A3" w:rsidRPr="001910A3">
        <w:rPr>
          <w:rFonts w:eastAsia="Times New Roman" w:cstheme="minorHAnsi"/>
          <w:lang w:eastAsia="en-GB"/>
        </w:rPr>
        <w:t xml:space="preserve">The review panel should </w:t>
      </w:r>
      <w:proofErr w:type="gramStart"/>
      <w:r w:rsidR="001910A3" w:rsidRPr="001910A3">
        <w:rPr>
          <w:rFonts w:eastAsia="Times New Roman" w:cstheme="minorHAnsi"/>
          <w:lang w:eastAsia="en-GB"/>
        </w:rPr>
        <w:t>bear in mind all equality and diversity issues at all times</w:t>
      </w:r>
      <w:proofErr w:type="gramEnd"/>
      <w:r w:rsidR="001910A3" w:rsidRPr="001910A3">
        <w:rPr>
          <w:rFonts w:eastAsia="Times New Roman" w:cstheme="minorHAnsi"/>
          <w:lang w:eastAsia="en-GB"/>
        </w:rPr>
        <w:t>; age, disability, gender reassignment, marriage and civil partnership, pregnancy and maternity, race, religion and belief, sex and sexual orientation may all have a bearing on how the review is explained and conducted and the outcomes disseminated to local communities.</w:t>
      </w:r>
    </w:p>
    <w:p w14:paraId="223F434D" w14:textId="77777777" w:rsidR="000B686E" w:rsidRDefault="000B686E" w:rsidP="000B686E">
      <w:pPr>
        <w:tabs>
          <w:tab w:val="left" w:pos="1440"/>
        </w:tabs>
        <w:spacing w:after="240" w:line="240" w:lineRule="auto"/>
        <w:contextualSpacing/>
        <w:jc w:val="both"/>
        <w:rPr>
          <w:rFonts w:eastAsia="Times New Roman" w:cstheme="minorHAnsi"/>
          <w:lang w:eastAsia="en-GB"/>
        </w:rPr>
      </w:pPr>
    </w:p>
    <w:p w14:paraId="5AE3EFC8" w14:textId="77777777" w:rsidR="00586133" w:rsidRDefault="00586133" w:rsidP="000B686E">
      <w:pPr>
        <w:tabs>
          <w:tab w:val="left" w:pos="1440"/>
        </w:tabs>
        <w:spacing w:after="240" w:line="240" w:lineRule="auto"/>
        <w:contextualSpacing/>
        <w:jc w:val="both"/>
        <w:rPr>
          <w:rFonts w:eastAsia="Times New Roman" w:cstheme="minorHAnsi"/>
          <w:lang w:eastAsia="en-GB"/>
        </w:rPr>
      </w:pPr>
    </w:p>
    <w:p w14:paraId="4D296971" w14:textId="77777777" w:rsidR="00586133" w:rsidRDefault="00586133" w:rsidP="000B686E">
      <w:pPr>
        <w:tabs>
          <w:tab w:val="left" w:pos="1440"/>
        </w:tabs>
        <w:spacing w:after="240" w:line="240" w:lineRule="auto"/>
        <w:contextualSpacing/>
        <w:jc w:val="both"/>
        <w:rPr>
          <w:rFonts w:eastAsia="Times New Roman" w:cstheme="minorHAnsi"/>
          <w:lang w:eastAsia="en-GB"/>
        </w:rPr>
      </w:pPr>
    </w:p>
    <w:p w14:paraId="614B8365" w14:textId="77777777" w:rsidR="00586133" w:rsidRDefault="00586133" w:rsidP="000B686E">
      <w:pPr>
        <w:tabs>
          <w:tab w:val="left" w:pos="1440"/>
        </w:tabs>
        <w:spacing w:after="240" w:line="240" w:lineRule="auto"/>
        <w:contextualSpacing/>
        <w:jc w:val="both"/>
        <w:rPr>
          <w:rFonts w:eastAsia="Times New Roman" w:cstheme="minorHAnsi"/>
          <w:lang w:eastAsia="en-GB"/>
        </w:rPr>
      </w:pPr>
    </w:p>
    <w:p w14:paraId="700592B9" w14:textId="72BEACE9" w:rsidR="000B686E" w:rsidRPr="000B686E" w:rsidRDefault="0060694D" w:rsidP="000B686E">
      <w:pPr>
        <w:tabs>
          <w:tab w:val="left" w:pos="1440"/>
        </w:tabs>
        <w:spacing w:after="240" w:line="240" w:lineRule="auto"/>
        <w:contextualSpacing/>
        <w:jc w:val="both"/>
        <w:rPr>
          <w:rFonts w:eastAsia="Times New Roman" w:cstheme="minorHAnsi"/>
          <w:lang w:eastAsia="en-GB"/>
        </w:rPr>
      </w:pPr>
      <w:r>
        <w:rPr>
          <w:rFonts w:eastAsia="Times New Roman" w:cstheme="minorHAnsi"/>
          <w:b/>
          <w:u w:val="single"/>
          <w:lang w:eastAsia="en-GB"/>
        </w:rPr>
        <w:lastRenderedPageBreak/>
        <w:t>1</w:t>
      </w:r>
      <w:r w:rsidR="009E5FB4">
        <w:rPr>
          <w:rFonts w:eastAsia="Times New Roman" w:cstheme="minorHAnsi"/>
          <w:b/>
          <w:u w:val="single"/>
          <w:lang w:eastAsia="en-GB"/>
        </w:rPr>
        <w:t>1</w:t>
      </w:r>
      <w:r w:rsidR="000B686E" w:rsidRPr="001C7B04">
        <w:rPr>
          <w:rFonts w:eastAsia="Times New Roman" w:cstheme="minorHAnsi"/>
          <w:b/>
          <w:u w:val="single"/>
          <w:lang w:eastAsia="en-GB"/>
        </w:rPr>
        <w:t>.</w:t>
      </w:r>
      <w:r w:rsidR="000B686E" w:rsidRPr="001C7B04">
        <w:rPr>
          <w:rFonts w:eastAsia="Times New Roman" w:cstheme="minorHAnsi"/>
          <w:u w:val="single"/>
          <w:lang w:eastAsia="en-GB"/>
        </w:rPr>
        <w:t xml:space="preserve"> </w:t>
      </w:r>
      <w:bookmarkStart w:id="9" w:name="OverviewReportAndActionPlan"/>
      <w:r w:rsidR="000B686E" w:rsidRPr="001C7B04">
        <w:rPr>
          <w:rFonts w:eastAsia="Times New Roman" w:cstheme="minorHAnsi"/>
          <w:b/>
          <w:caps/>
          <w:u w:val="single"/>
          <w:lang w:eastAsia="en-GB"/>
        </w:rPr>
        <w:t>Overview Report and Action Plan</w:t>
      </w:r>
      <w:bookmarkEnd w:id="9"/>
    </w:p>
    <w:p w14:paraId="20DAB46D" w14:textId="77777777" w:rsidR="000B686E" w:rsidRPr="000B686E" w:rsidRDefault="000B686E" w:rsidP="000B686E">
      <w:pPr>
        <w:tabs>
          <w:tab w:val="left" w:pos="1440"/>
        </w:tabs>
        <w:spacing w:after="240" w:line="240" w:lineRule="auto"/>
        <w:contextualSpacing/>
        <w:jc w:val="both"/>
        <w:rPr>
          <w:rFonts w:eastAsia="Times New Roman" w:cstheme="minorHAnsi"/>
          <w:lang w:eastAsia="en-GB"/>
        </w:rPr>
      </w:pPr>
    </w:p>
    <w:p w14:paraId="01487EC3" w14:textId="46450422" w:rsidR="000B686E" w:rsidRPr="000B686E" w:rsidRDefault="0055264E" w:rsidP="000B686E">
      <w:pPr>
        <w:tabs>
          <w:tab w:val="left" w:pos="1440"/>
        </w:tabs>
        <w:spacing w:after="240" w:line="240" w:lineRule="auto"/>
        <w:contextualSpacing/>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1</w:t>
      </w:r>
      <w:r w:rsidR="000B686E">
        <w:rPr>
          <w:rFonts w:eastAsia="Times New Roman" w:cstheme="minorHAnsi"/>
          <w:lang w:eastAsia="en-GB"/>
        </w:rPr>
        <w:t>.1</w:t>
      </w:r>
      <w:r w:rsidR="000B686E" w:rsidRPr="000B686E">
        <w:rPr>
          <w:rFonts w:eastAsia="Times New Roman" w:cstheme="minorHAnsi"/>
          <w:lang w:eastAsia="en-GB"/>
        </w:rPr>
        <w:t xml:space="preserve"> Sample Overview Report template is available in the </w:t>
      </w:r>
      <w:hyperlink r:id="rId20" w:history="1">
        <w:r w:rsidR="000B686E" w:rsidRPr="000B686E">
          <w:rPr>
            <w:rFonts w:eastAsia="Times New Roman" w:cstheme="minorHAnsi"/>
            <w:u w:val="single"/>
            <w:lang w:eastAsia="en-GB"/>
          </w:rPr>
          <w:t>Home Office Guidance 2016</w:t>
        </w:r>
      </w:hyperlink>
      <w:r w:rsidR="000B686E" w:rsidRPr="000B686E">
        <w:rPr>
          <w:rFonts w:eastAsia="Times New Roman" w:cstheme="minorHAnsi"/>
          <w:lang w:eastAsia="en-GB"/>
        </w:rPr>
        <w:t>, with information regarding the content available on page 21.</w:t>
      </w:r>
    </w:p>
    <w:p w14:paraId="5533A50D" w14:textId="77777777" w:rsidR="000B686E" w:rsidRPr="000B686E" w:rsidRDefault="000B686E" w:rsidP="000B686E">
      <w:pPr>
        <w:tabs>
          <w:tab w:val="left" w:pos="1440"/>
        </w:tabs>
        <w:spacing w:after="240" w:line="240" w:lineRule="auto"/>
        <w:contextualSpacing/>
        <w:jc w:val="both"/>
        <w:rPr>
          <w:rFonts w:eastAsia="Times New Roman" w:cstheme="minorHAnsi"/>
          <w:lang w:eastAsia="en-GB"/>
        </w:rPr>
      </w:pPr>
    </w:p>
    <w:p w14:paraId="394FD5FD" w14:textId="38D9BE41" w:rsidR="000B686E" w:rsidRPr="000B686E" w:rsidRDefault="0055264E" w:rsidP="000B686E">
      <w:pPr>
        <w:widowControl w:val="0"/>
        <w:tabs>
          <w:tab w:val="left" w:pos="0"/>
          <w:tab w:val="left" w:pos="1440"/>
        </w:tabs>
        <w:spacing w:after="0" w:line="240" w:lineRule="auto"/>
        <w:contextualSpacing/>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1</w:t>
      </w:r>
      <w:r w:rsidR="000B686E">
        <w:rPr>
          <w:rFonts w:eastAsia="Times New Roman" w:cstheme="minorHAnsi"/>
          <w:lang w:eastAsia="en-GB"/>
        </w:rPr>
        <w:t>.2</w:t>
      </w:r>
      <w:r w:rsidR="000B686E" w:rsidRPr="000B686E">
        <w:rPr>
          <w:rFonts w:eastAsia="Times New Roman" w:cstheme="minorHAnsi"/>
          <w:lang w:eastAsia="en-GB"/>
        </w:rPr>
        <w:t xml:space="preserve"> A first draft of the Overview Report will be produced by the Independent Author/Chair foll</w:t>
      </w:r>
      <w:r w:rsidR="00E876AD">
        <w:rPr>
          <w:rFonts w:eastAsia="Times New Roman" w:cstheme="minorHAnsi"/>
          <w:lang w:eastAsia="en-GB"/>
        </w:rPr>
        <w:t>owing the IMR Presentation Day.</w:t>
      </w:r>
      <w:r w:rsidR="000B686E" w:rsidRPr="000B686E">
        <w:rPr>
          <w:rFonts w:eastAsia="Times New Roman" w:cstheme="minorHAnsi"/>
          <w:lang w:eastAsia="en-GB"/>
        </w:rPr>
        <w:t xml:space="preserve"> The Overview Report will adhere to the Statutory Guidelines required by the Home Office and will include analysis and rec</w:t>
      </w:r>
      <w:r w:rsidR="00CB22D6">
        <w:rPr>
          <w:rFonts w:eastAsia="Times New Roman" w:cstheme="minorHAnsi"/>
          <w:lang w:eastAsia="en-GB"/>
        </w:rPr>
        <w:t>ommendations from the author</w:t>
      </w:r>
      <w:r w:rsidR="00CA4375">
        <w:rPr>
          <w:rFonts w:eastAsia="Times New Roman" w:cstheme="minorHAnsi"/>
          <w:lang w:eastAsia="en-GB"/>
        </w:rPr>
        <w:t xml:space="preserve"> as well as the agencies</w:t>
      </w:r>
      <w:r w:rsidR="00CB22D6">
        <w:rPr>
          <w:rFonts w:eastAsia="Times New Roman" w:cstheme="minorHAnsi"/>
          <w:lang w:eastAsia="en-GB"/>
        </w:rPr>
        <w:t>.</w:t>
      </w:r>
    </w:p>
    <w:p w14:paraId="46D1304A" w14:textId="77777777" w:rsidR="000B686E" w:rsidRPr="000B686E" w:rsidRDefault="000B686E" w:rsidP="000B686E">
      <w:pPr>
        <w:widowControl w:val="0"/>
        <w:tabs>
          <w:tab w:val="left" w:pos="0"/>
          <w:tab w:val="left" w:pos="1440"/>
        </w:tabs>
        <w:spacing w:after="0" w:line="240" w:lineRule="auto"/>
        <w:contextualSpacing/>
        <w:jc w:val="both"/>
        <w:rPr>
          <w:rFonts w:eastAsia="Times New Roman" w:cstheme="minorHAnsi"/>
          <w:lang w:eastAsia="en-GB"/>
        </w:rPr>
      </w:pPr>
    </w:p>
    <w:p w14:paraId="62365781" w14:textId="73359A18" w:rsidR="000B686E" w:rsidRPr="000B686E" w:rsidRDefault="0055264E" w:rsidP="000B686E">
      <w:pPr>
        <w:tabs>
          <w:tab w:val="left" w:pos="0"/>
        </w:tabs>
        <w:autoSpaceDE w:val="0"/>
        <w:autoSpaceDN w:val="0"/>
        <w:adjustRightInd w:val="0"/>
        <w:spacing w:after="0" w:line="240" w:lineRule="auto"/>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1</w:t>
      </w:r>
      <w:r w:rsidR="000B686E">
        <w:rPr>
          <w:rFonts w:eastAsia="Times New Roman" w:cstheme="minorHAnsi"/>
          <w:lang w:eastAsia="en-GB"/>
        </w:rPr>
        <w:t>.3</w:t>
      </w:r>
      <w:r w:rsidR="000B686E" w:rsidRPr="000B686E">
        <w:rPr>
          <w:rFonts w:eastAsia="Times New Roman" w:cstheme="minorHAnsi"/>
          <w:lang w:eastAsia="en-GB"/>
        </w:rPr>
        <w:t xml:space="preserve"> Enable families to choose, if they wish, a suitable pseudonym for the victim to be used in the report. Choosing a name rather than the common practice of using initials, letters and numbers, </w:t>
      </w:r>
      <w:proofErr w:type="gramStart"/>
      <w:r w:rsidR="000B686E" w:rsidRPr="000B686E">
        <w:rPr>
          <w:rFonts w:eastAsia="Times New Roman" w:cstheme="minorHAnsi"/>
          <w:lang w:eastAsia="en-GB"/>
        </w:rPr>
        <w:t>nouns</w:t>
      </w:r>
      <w:proofErr w:type="gramEnd"/>
      <w:r w:rsidR="000B686E" w:rsidRPr="000B686E">
        <w:rPr>
          <w:rFonts w:eastAsia="Times New Roman" w:cstheme="minorHAnsi"/>
          <w:lang w:eastAsia="en-GB"/>
        </w:rPr>
        <w:t xml:space="preserve"> or symbols, humanises the review and allows the reader to more easily follow the narrative. It would be helpful if reports could outline where families have d</w:t>
      </w:r>
      <w:r w:rsidR="00CB22D6">
        <w:rPr>
          <w:rFonts w:eastAsia="Times New Roman" w:cstheme="minorHAnsi"/>
          <w:lang w:eastAsia="en-GB"/>
        </w:rPr>
        <w:t>eclined the use of a pseudonym.</w:t>
      </w:r>
    </w:p>
    <w:p w14:paraId="59C7DAC9" w14:textId="77777777" w:rsidR="000B686E" w:rsidRPr="000B686E" w:rsidRDefault="000B686E" w:rsidP="000B686E">
      <w:pPr>
        <w:widowControl w:val="0"/>
        <w:tabs>
          <w:tab w:val="left" w:pos="0"/>
          <w:tab w:val="left" w:pos="1440"/>
        </w:tabs>
        <w:spacing w:after="0" w:line="240" w:lineRule="auto"/>
        <w:contextualSpacing/>
        <w:jc w:val="both"/>
        <w:rPr>
          <w:rFonts w:eastAsia="Times New Roman" w:cstheme="minorHAnsi"/>
          <w:lang w:eastAsia="en-GB"/>
        </w:rPr>
      </w:pPr>
    </w:p>
    <w:p w14:paraId="63213293" w14:textId="53058346" w:rsidR="000B686E" w:rsidRPr="000B686E" w:rsidRDefault="0055264E" w:rsidP="000B686E">
      <w:pPr>
        <w:tabs>
          <w:tab w:val="left" w:pos="1440"/>
        </w:tabs>
        <w:spacing w:after="0" w:line="240" w:lineRule="auto"/>
        <w:contextualSpacing/>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1</w:t>
      </w:r>
      <w:r w:rsidR="00E6376E">
        <w:rPr>
          <w:rFonts w:eastAsia="Times New Roman" w:cstheme="minorHAnsi"/>
          <w:lang w:eastAsia="en-GB"/>
        </w:rPr>
        <w:t xml:space="preserve">.4 </w:t>
      </w:r>
      <w:r w:rsidR="000B686E" w:rsidRPr="000B686E">
        <w:rPr>
          <w:rFonts w:eastAsia="Times New Roman" w:cstheme="minorHAnsi"/>
          <w:lang w:eastAsia="en-GB"/>
        </w:rPr>
        <w:t>At this stage and if appropriate bearing in mind potential criminal legal proceedings, front line practitioners and their first line managers may be involved in discussions, as determined</w:t>
      </w:r>
      <w:r w:rsidR="00CB22D6">
        <w:rPr>
          <w:rFonts w:eastAsia="Times New Roman" w:cstheme="minorHAnsi"/>
          <w:lang w:eastAsia="en-GB"/>
        </w:rPr>
        <w:t xml:space="preserve"> by each agency and the D</w:t>
      </w:r>
      <w:r w:rsidR="00A6145B">
        <w:rPr>
          <w:rFonts w:eastAsia="Times New Roman" w:cstheme="minorHAnsi"/>
          <w:lang w:eastAsia="en-GB"/>
        </w:rPr>
        <w:t xml:space="preserve">HR </w:t>
      </w:r>
      <w:r w:rsidR="0030756B">
        <w:rPr>
          <w:rFonts w:eastAsia="Times New Roman" w:cstheme="minorHAnsi"/>
          <w:lang w:eastAsia="en-GB"/>
        </w:rPr>
        <w:t>panel</w:t>
      </w:r>
      <w:r w:rsidR="0057695A">
        <w:rPr>
          <w:rFonts w:eastAsia="Times New Roman" w:cstheme="minorHAnsi"/>
          <w:lang w:eastAsia="en-GB"/>
        </w:rPr>
        <w:t>, t</w:t>
      </w:r>
      <w:r w:rsidR="00AE422C">
        <w:rPr>
          <w:rFonts w:eastAsia="Times New Roman" w:cstheme="minorHAnsi"/>
          <w:lang w:eastAsia="en-GB"/>
        </w:rPr>
        <w:t>o provide them feedback with the findings from the review.</w:t>
      </w:r>
    </w:p>
    <w:p w14:paraId="0B9E1E47" w14:textId="77777777" w:rsidR="000B686E" w:rsidRPr="000B686E" w:rsidRDefault="000B686E" w:rsidP="000B686E">
      <w:pPr>
        <w:widowControl w:val="0"/>
        <w:tabs>
          <w:tab w:val="left" w:pos="0"/>
          <w:tab w:val="left" w:pos="1440"/>
        </w:tabs>
        <w:spacing w:after="0" w:line="240" w:lineRule="auto"/>
        <w:contextualSpacing/>
        <w:jc w:val="both"/>
        <w:rPr>
          <w:rFonts w:eastAsia="Times New Roman" w:cstheme="minorHAnsi"/>
          <w:lang w:eastAsia="en-GB"/>
        </w:rPr>
      </w:pPr>
    </w:p>
    <w:p w14:paraId="4BFC3A59" w14:textId="67EB3A36" w:rsidR="00B364C4" w:rsidRDefault="0055264E" w:rsidP="000B686E">
      <w:pPr>
        <w:widowControl w:val="0"/>
        <w:tabs>
          <w:tab w:val="left" w:pos="0"/>
          <w:tab w:val="left" w:pos="1440"/>
        </w:tabs>
        <w:spacing w:after="0" w:line="240" w:lineRule="auto"/>
        <w:contextualSpacing/>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1</w:t>
      </w:r>
      <w:r w:rsidR="000B686E">
        <w:rPr>
          <w:rFonts w:eastAsia="Times New Roman" w:cstheme="minorHAnsi"/>
          <w:lang w:eastAsia="en-GB"/>
        </w:rPr>
        <w:t>.</w:t>
      </w:r>
      <w:r w:rsidR="00E6376E">
        <w:rPr>
          <w:rFonts w:eastAsia="Times New Roman" w:cstheme="minorHAnsi"/>
          <w:lang w:eastAsia="en-GB"/>
        </w:rPr>
        <w:t>5</w:t>
      </w:r>
      <w:r w:rsidR="000B686E" w:rsidRPr="000B686E">
        <w:rPr>
          <w:rFonts w:eastAsia="Times New Roman" w:cstheme="minorHAnsi"/>
          <w:lang w:eastAsia="en-GB"/>
        </w:rPr>
        <w:t xml:space="preserve"> The first draft of the Overview Report will be circulated to members of the Review Panel for comment and amendment by the </w:t>
      </w:r>
      <w:r w:rsidR="00DC1D3E">
        <w:rPr>
          <w:rFonts w:eastAsia="Times New Roman" w:cstheme="minorHAnsi"/>
          <w:lang w:eastAsia="en-GB"/>
        </w:rPr>
        <w:t xml:space="preserve">LDAP Senior </w:t>
      </w:r>
      <w:r w:rsidR="000B686E" w:rsidRPr="000B686E">
        <w:rPr>
          <w:rFonts w:eastAsia="Times New Roman" w:cstheme="minorHAnsi"/>
          <w:lang w:eastAsia="en-GB"/>
        </w:rPr>
        <w:t xml:space="preserve">Business Support </w:t>
      </w:r>
      <w:r w:rsidR="00DC1D3E">
        <w:rPr>
          <w:rFonts w:eastAsia="Times New Roman" w:cstheme="minorHAnsi"/>
          <w:lang w:eastAsia="en-GB"/>
        </w:rPr>
        <w:t>Officer</w:t>
      </w:r>
      <w:r w:rsidR="000B686E" w:rsidRPr="000B686E">
        <w:rPr>
          <w:rFonts w:eastAsia="Times New Roman" w:cstheme="minorHAnsi"/>
          <w:lang w:eastAsia="en-GB"/>
        </w:rPr>
        <w:t xml:space="preserve">. The Panel should ensure that contributors are satisfied that their information is fully and fairly represented and that the Overview Report is of a high standard and written in accordance with statutory </w:t>
      </w:r>
      <w:r w:rsidR="00B364C4" w:rsidRPr="000B686E">
        <w:rPr>
          <w:rFonts w:eastAsia="Times New Roman" w:cstheme="minorHAnsi"/>
          <w:lang w:eastAsia="en-GB"/>
        </w:rPr>
        <w:t>guidance.</w:t>
      </w:r>
      <w:r w:rsidR="00B364C4">
        <w:rPr>
          <w:rFonts w:eastAsia="Times New Roman" w:cstheme="minorHAnsi"/>
          <w:lang w:eastAsia="en-GB"/>
        </w:rPr>
        <w:t xml:space="preserve"> </w:t>
      </w:r>
      <w:r w:rsidR="00CA4375">
        <w:rPr>
          <w:rFonts w:eastAsia="Times New Roman" w:cstheme="minorHAnsi"/>
          <w:lang w:eastAsia="en-GB"/>
        </w:rPr>
        <w:t xml:space="preserve">There may be </w:t>
      </w:r>
      <w:proofErr w:type="gramStart"/>
      <w:r w:rsidR="00CA4375">
        <w:rPr>
          <w:rFonts w:eastAsia="Times New Roman" w:cstheme="minorHAnsi"/>
          <w:lang w:eastAsia="en-GB"/>
        </w:rPr>
        <w:t>a number of</w:t>
      </w:r>
      <w:proofErr w:type="gramEnd"/>
      <w:r w:rsidR="00CA4375">
        <w:rPr>
          <w:rFonts w:eastAsia="Times New Roman" w:cstheme="minorHAnsi"/>
          <w:lang w:eastAsia="en-GB"/>
        </w:rPr>
        <w:t xml:space="preserve"> iterations of the report before it can be finalised. </w:t>
      </w:r>
      <w:r w:rsidR="00B364C4">
        <w:rPr>
          <w:rFonts w:eastAsia="Times New Roman" w:cstheme="minorHAnsi"/>
          <w:lang w:eastAsia="en-GB"/>
        </w:rPr>
        <w:t>Once</w:t>
      </w:r>
      <w:r w:rsidR="00CB5DC5">
        <w:rPr>
          <w:rFonts w:eastAsia="Times New Roman" w:cstheme="minorHAnsi"/>
          <w:lang w:eastAsia="en-GB"/>
        </w:rPr>
        <w:t xml:space="preserve"> the Over</w:t>
      </w:r>
      <w:r w:rsidR="00B364C4">
        <w:rPr>
          <w:rFonts w:eastAsia="Times New Roman" w:cstheme="minorHAnsi"/>
          <w:lang w:eastAsia="en-GB"/>
        </w:rPr>
        <w:t>view Report recommendations are confirmed</w:t>
      </w:r>
      <w:r w:rsidR="00CB5DC5">
        <w:rPr>
          <w:rFonts w:eastAsia="Times New Roman" w:cstheme="minorHAnsi"/>
          <w:lang w:eastAsia="en-GB"/>
        </w:rPr>
        <w:t>, the Review panel should pro</w:t>
      </w:r>
      <w:r w:rsidR="00B364C4">
        <w:rPr>
          <w:rFonts w:eastAsia="Times New Roman" w:cstheme="minorHAnsi"/>
          <w:lang w:eastAsia="en-GB"/>
        </w:rPr>
        <w:t>duc</w:t>
      </w:r>
      <w:r w:rsidR="00CB5DC5">
        <w:rPr>
          <w:rFonts w:eastAsia="Times New Roman" w:cstheme="minorHAnsi"/>
          <w:lang w:eastAsia="en-GB"/>
        </w:rPr>
        <w:t xml:space="preserve">e an </w:t>
      </w:r>
      <w:r w:rsidR="00B364C4">
        <w:rPr>
          <w:rFonts w:eastAsia="Times New Roman" w:cstheme="minorHAnsi"/>
          <w:lang w:eastAsia="en-GB"/>
        </w:rPr>
        <w:t>Action P</w:t>
      </w:r>
      <w:r w:rsidR="000B686E" w:rsidRPr="000B686E">
        <w:rPr>
          <w:rFonts w:eastAsia="Times New Roman" w:cstheme="minorHAnsi"/>
          <w:lang w:eastAsia="en-GB"/>
        </w:rPr>
        <w:t>lan</w:t>
      </w:r>
      <w:r w:rsidR="00CB5DC5">
        <w:rPr>
          <w:rFonts w:eastAsia="Times New Roman" w:cstheme="minorHAnsi"/>
          <w:lang w:eastAsia="en-GB"/>
        </w:rPr>
        <w:t>, which</w:t>
      </w:r>
      <w:r w:rsidR="000B686E" w:rsidRPr="000B686E">
        <w:rPr>
          <w:rFonts w:eastAsia="Times New Roman" w:cstheme="minorHAnsi"/>
          <w:lang w:eastAsia="en-GB"/>
        </w:rPr>
        <w:t xml:space="preserve"> must be SMART and should be agreed by</w:t>
      </w:r>
      <w:r w:rsidR="00E876AD">
        <w:rPr>
          <w:rFonts w:eastAsia="Times New Roman" w:cstheme="minorHAnsi"/>
          <w:lang w:eastAsia="en-GB"/>
        </w:rPr>
        <w:t xml:space="preserve"> senior members of each agency.</w:t>
      </w:r>
      <w:r w:rsidR="000B686E" w:rsidRPr="000B686E">
        <w:rPr>
          <w:rFonts w:eastAsia="Times New Roman" w:cstheme="minorHAnsi"/>
          <w:lang w:eastAsia="en-GB"/>
        </w:rPr>
        <w:t xml:space="preserve"> </w:t>
      </w:r>
    </w:p>
    <w:p w14:paraId="265736C9" w14:textId="248A2C42" w:rsidR="000B686E" w:rsidRPr="000B686E" w:rsidRDefault="000B686E" w:rsidP="000B686E">
      <w:pPr>
        <w:widowControl w:val="0"/>
        <w:tabs>
          <w:tab w:val="left" w:pos="0"/>
          <w:tab w:val="left" w:pos="1440"/>
        </w:tabs>
        <w:spacing w:after="0" w:line="240" w:lineRule="auto"/>
        <w:contextualSpacing/>
        <w:jc w:val="both"/>
        <w:rPr>
          <w:rFonts w:eastAsia="Times New Roman" w:cstheme="minorHAnsi"/>
          <w:lang w:eastAsia="en-GB"/>
        </w:rPr>
      </w:pPr>
      <w:r w:rsidRPr="000B686E">
        <w:rPr>
          <w:rFonts w:eastAsia="Times New Roman" w:cstheme="minorHAnsi"/>
          <w:lang w:eastAsia="en-GB"/>
        </w:rPr>
        <w:t>Once agreed, the Review Panel should provide a copy of the Overview Report, Executive Summary</w:t>
      </w:r>
      <w:r w:rsidR="00E6376E">
        <w:rPr>
          <w:rFonts w:eastAsia="Times New Roman" w:cstheme="minorHAnsi"/>
          <w:lang w:eastAsia="en-GB"/>
        </w:rPr>
        <w:t>, Learning paper</w:t>
      </w:r>
      <w:r w:rsidRPr="000B686E">
        <w:rPr>
          <w:rFonts w:eastAsia="Times New Roman" w:cstheme="minorHAnsi"/>
          <w:lang w:eastAsia="en-GB"/>
        </w:rPr>
        <w:t xml:space="preserve"> and the Action Plan to the Chair of the L</w:t>
      </w:r>
      <w:r w:rsidR="00297C7D">
        <w:rPr>
          <w:rFonts w:eastAsia="Times New Roman" w:cstheme="minorHAnsi"/>
          <w:lang w:eastAsia="en-GB"/>
        </w:rPr>
        <w:t>DA</w:t>
      </w:r>
      <w:r w:rsidRPr="000B686E">
        <w:rPr>
          <w:rFonts w:eastAsia="Times New Roman" w:cstheme="minorHAnsi"/>
          <w:lang w:eastAsia="en-GB"/>
        </w:rPr>
        <w:t>P, marked as Restricted.</w:t>
      </w:r>
    </w:p>
    <w:p w14:paraId="7ADD774F" w14:textId="77777777" w:rsidR="000B686E" w:rsidRPr="000B686E" w:rsidRDefault="000B686E" w:rsidP="000B686E">
      <w:pPr>
        <w:widowControl w:val="0"/>
        <w:spacing w:after="0" w:line="240" w:lineRule="auto"/>
        <w:jc w:val="both"/>
        <w:rPr>
          <w:rFonts w:eastAsia="Times New Roman" w:cstheme="minorHAnsi"/>
          <w:lang w:eastAsia="en-GB"/>
        </w:rPr>
      </w:pPr>
      <w:r w:rsidRPr="000B686E">
        <w:rPr>
          <w:rFonts w:eastAsia="Times New Roman" w:cstheme="minorHAnsi"/>
          <w:lang w:eastAsia="en-GB"/>
        </w:rPr>
        <w:t>The report does not need to express a conclusion on predictability or preventability.</w:t>
      </w:r>
    </w:p>
    <w:p w14:paraId="1D371E0B" w14:textId="77777777" w:rsidR="00CB22D6" w:rsidRPr="000B686E" w:rsidRDefault="00CB22D6" w:rsidP="000B686E">
      <w:pPr>
        <w:widowControl w:val="0"/>
        <w:spacing w:after="0" w:line="240" w:lineRule="auto"/>
        <w:jc w:val="both"/>
        <w:rPr>
          <w:rFonts w:eastAsia="Times New Roman" w:cstheme="minorHAnsi"/>
          <w:lang w:eastAsia="en-GB"/>
        </w:rPr>
      </w:pPr>
    </w:p>
    <w:p w14:paraId="668847B6" w14:textId="1652C20C" w:rsidR="000B686E" w:rsidRPr="000B686E" w:rsidRDefault="0055264E" w:rsidP="000B686E">
      <w:pPr>
        <w:widowControl w:val="0"/>
        <w:tabs>
          <w:tab w:val="left" w:pos="0"/>
          <w:tab w:val="left" w:pos="1440"/>
        </w:tabs>
        <w:spacing w:after="0" w:line="240" w:lineRule="auto"/>
        <w:contextualSpacing/>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1</w:t>
      </w:r>
      <w:r w:rsidR="000B686E">
        <w:rPr>
          <w:rFonts w:eastAsia="Times New Roman" w:cstheme="minorHAnsi"/>
          <w:lang w:eastAsia="en-GB"/>
        </w:rPr>
        <w:t>.</w:t>
      </w:r>
      <w:r w:rsidR="00E6376E">
        <w:rPr>
          <w:rFonts w:eastAsia="Times New Roman" w:cstheme="minorHAnsi"/>
          <w:lang w:eastAsia="en-GB"/>
        </w:rPr>
        <w:t>6</w:t>
      </w:r>
      <w:r w:rsidR="000B686E" w:rsidRPr="000B686E">
        <w:rPr>
          <w:rFonts w:eastAsia="Times New Roman" w:cstheme="minorHAnsi"/>
          <w:lang w:eastAsia="en-GB"/>
        </w:rPr>
        <w:t xml:space="preserve"> On receiving the </w:t>
      </w:r>
      <w:r w:rsidR="00CB22D6" w:rsidRPr="000B686E">
        <w:rPr>
          <w:rFonts w:eastAsia="Times New Roman" w:cstheme="minorHAnsi"/>
          <w:lang w:eastAsia="en-GB"/>
        </w:rPr>
        <w:t>restricted</w:t>
      </w:r>
      <w:r w:rsidR="000B686E" w:rsidRPr="000B686E">
        <w:rPr>
          <w:rFonts w:eastAsia="Times New Roman" w:cstheme="minorHAnsi"/>
          <w:lang w:eastAsia="en-GB"/>
        </w:rPr>
        <w:t xml:space="preserve"> version of the Overview Report and supporting documents, the </w:t>
      </w:r>
      <w:r w:rsidR="00CA4375">
        <w:rPr>
          <w:rFonts w:eastAsia="Times New Roman" w:cstheme="minorHAnsi"/>
          <w:lang w:eastAsia="en-GB"/>
        </w:rPr>
        <w:t xml:space="preserve">SLP &amp; </w:t>
      </w:r>
      <w:r w:rsidR="000B686E" w:rsidRPr="000B686E">
        <w:rPr>
          <w:rFonts w:eastAsia="Times New Roman" w:cstheme="minorHAnsi"/>
          <w:lang w:eastAsia="en-GB"/>
        </w:rPr>
        <w:t>L</w:t>
      </w:r>
      <w:r w:rsidR="00297C7D">
        <w:rPr>
          <w:rFonts w:eastAsia="Times New Roman" w:cstheme="minorHAnsi"/>
          <w:lang w:eastAsia="en-GB"/>
        </w:rPr>
        <w:t>DA</w:t>
      </w:r>
      <w:r w:rsidR="000B686E" w:rsidRPr="000B686E">
        <w:rPr>
          <w:rFonts w:eastAsia="Times New Roman" w:cstheme="minorHAnsi"/>
          <w:lang w:eastAsia="en-GB"/>
        </w:rPr>
        <w:t>P should:</w:t>
      </w:r>
    </w:p>
    <w:p w14:paraId="15340868" w14:textId="77777777" w:rsidR="000B686E" w:rsidRPr="000B686E" w:rsidRDefault="000B686E" w:rsidP="000B686E">
      <w:pPr>
        <w:spacing w:after="0" w:line="240" w:lineRule="auto"/>
        <w:ind w:left="720"/>
        <w:rPr>
          <w:rFonts w:eastAsia="Times New Roman" w:cstheme="minorHAnsi"/>
          <w:lang w:eastAsia="en-GB"/>
        </w:rPr>
      </w:pPr>
    </w:p>
    <w:p w14:paraId="083337DB" w14:textId="34DCE0EF" w:rsidR="000B686E" w:rsidRPr="009F21E6" w:rsidRDefault="000B686E" w:rsidP="009F21E6">
      <w:pPr>
        <w:widowControl w:val="0"/>
        <w:numPr>
          <w:ilvl w:val="0"/>
          <w:numId w:val="21"/>
        </w:numPr>
        <w:tabs>
          <w:tab w:val="left" w:pos="0"/>
          <w:tab w:val="left" w:pos="709"/>
        </w:tabs>
        <w:spacing w:after="0" w:line="240" w:lineRule="auto"/>
        <w:ind w:left="720"/>
        <w:contextualSpacing/>
        <w:rPr>
          <w:rFonts w:eastAsia="Times New Roman" w:cstheme="minorHAnsi"/>
          <w:lang w:eastAsia="en-GB"/>
        </w:rPr>
      </w:pPr>
      <w:r w:rsidRPr="009F21E6">
        <w:rPr>
          <w:rFonts w:eastAsia="Times New Roman" w:cstheme="minorHAnsi"/>
          <w:lang w:eastAsia="en-GB"/>
        </w:rPr>
        <w:t>Agree the content of the Overview Report, Executive Summary</w:t>
      </w:r>
      <w:r w:rsidR="00F0081B">
        <w:rPr>
          <w:rFonts w:eastAsia="Times New Roman" w:cstheme="minorHAnsi"/>
          <w:lang w:eastAsia="en-GB"/>
        </w:rPr>
        <w:t xml:space="preserve">, action plan and Learning paper </w:t>
      </w:r>
      <w:r w:rsidRPr="009F21E6">
        <w:rPr>
          <w:rFonts w:eastAsia="Times New Roman" w:cstheme="minorHAnsi"/>
          <w:lang w:eastAsia="en-GB"/>
        </w:rPr>
        <w:t>for publication</w:t>
      </w:r>
      <w:r w:rsidR="00F0081B">
        <w:rPr>
          <w:rFonts w:eastAsia="Times New Roman" w:cstheme="minorHAnsi"/>
          <w:lang w:eastAsia="en-GB"/>
        </w:rPr>
        <w:t xml:space="preserve"> [bar the action plan]</w:t>
      </w:r>
      <w:r w:rsidRPr="009F21E6">
        <w:rPr>
          <w:rFonts w:eastAsia="Times New Roman" w:cstheme="minorHAnsi"/>
          <w:lang w:eastAsia="en-GB"/>
        </w:rPr>
        <w:t xml:space="preserve">, ensuring that it is fully anonymised apart from including the names of the Review Panel Chair and </w:t>
      </w:r>
      <w:proofErr w:type="gramStart"/>
      <w:r w:rsidRPr="009F21E6">
        <w:rPr>
          <w:rFonts w:eastAsia="Times New Roman" w:cstheme="minorHAnsi"/>
          <w:lang w:eastAsia="en-GB"/>
        </w:rPr>
        <w:t>members;</w:t>
      </w:r>
      <w:proofErr w:type="gramEnd"/>
    </w:p>
    <w:p w14:paraId="2FF27745" w14:textId="77777777" w:rsidR="000B686E" w:rsidRPr="009F21E6" w:rsidRDefault="000B686E" w:rsidP="009F21E6">
      <w:pPr>
        <w:pStyle w:val="ListParagraph"/>
        <w:widowControl w:val="0"/>
        <w:numPr>
          <w:ilvl w:val="0"/>
          <w:numId w:val="21"/>
        </w:numPr>
        <w:tabs>
          <w:tab w:val="left" w:pos="0"/>
          <w:tab w:val="left" w:pos="709"/>
        </w:tabs>
        <w:spacing w:after="0" w:line="240" w:lineRule="auto"/>
        <w:ind w:left="709"/>
        <w:rPr>
          <w:rFonts w:eastAsia="Times New Roman" w:cstheme="minorHAnsi"/>
          <w:lang w:eastAsia="en-GB"/>
        </w:rPr>
      </w:pPr>
      <w:r w:rsidRPr="009F21E6">
        <w:rPr>
          <w:rFonts w:eastAsia="Times New Roman" w:cstheme="minorHAnsi"/>
          <w:lang w:eastAsia="en-GB"/>
        </w:rPr>
        <w:t xml:space="preserve">Make arrangements to provide feedback and debriefing to staff, family members and the media as </w:t>
      </w:r>
      <w:proofErr w:type="gramStart"/>
      <w:r w:rsidRPr="009F21E6">
        <w:rPr>
          <w:rFonts w:eastAsia="Times New Roman" w:cstheme="minorHAnsi"/>
          <w:lang w:eastAsia="en-GB"/>
        </w:rPr>
        <w:t>appropriate;</w:t>
      </w:r>
      <w:proofErr w:type="gramEnd"/>
    </w:p>
    <w:p w14:paraId="03D65A14" w14:textId="23934AE3" w:rsidR="000B686E" w:rsidRPr="000B686E" w:rsidRDefault="000B686E" w:rsidP="009F21E6">
      <w:pPr>
        <w:widowControl w:val="0"/>
        <w:numPr>
          <w:ilvl w:val="0"/>
          <w:numId w:val="21"/>
        </w:numPr>
        <w:tabs>
          <w:tab w:val="left" w:pos="0"/>
          <w:tab w:val="left" w:pos="709"/>
        </w:tabs>
        <w:spacing w:after="0" w:line="240" w:lineRule="auto"/>
        <w:ind w:left="720"/>
        <w:contextualSpacing/>
        <w:rPr>
          <w:rFonts w:eastAsia="Times New Roman" w:cstheme="minorHAnsi"/>
          <w:lang w:eastAsia="en-GB"/>
        </w:rPr>
      </w:pPr>
      <w:r w:rsidRPr="000B686E">
        <w:rPr>
          <w:rFonts w:eastAsia="Times New Roman" w:cstheme="minorHAnsi"/>
          <w:lang w:eastAsia="en-GB"/>
        </w:rPr>
        <w:t>Sign off the Overview Report</w:t>
      </w:r>
      <w:r w:rsidR="00F0081B">
        <w:rPr>
          <w:rFonts w:eastAsia="Times New Roman" w:cstheme="minorHAnsi"/>
          <w:lang w:eastAsia="en-GB"/>
        </w:rPr>
        <w:t>,</w:t>
      </w:r>
      <w:r w:rsidRPr="000B686E">
        <w:rPr>
          <w:rFonts w:eastAsia="Times New Roman" w:cstheme="minorHAnsi"/>
          <w:lang w:eastAsia="en-GB"/>
        </w:rPr>
        <w:t xml:space="preserve"> executive summary</w:t>
      </w:r>
      <w:r w:rsidR="00F0081B">
        <w:rPr>
          <w:rFonts w:eastAsia="Times New Roman" w:cstheme="minorHAnsi"/>
          <w:lang w:eastAsia="en-GB"/>
        </w:rPr>
        <w:t>, learning paper</w:t>
      </w:r>
      <w:r w:rsidRPr="000B686E">
        <w:rPr>
          <w:rFonts w:eastAsia="Times New Roman" w:cstheme="minorHAnsi"/>
          <w:lang w:eastAsia="en-GB"/>
        </w:rPr>
        <w:t xml:space="preserve"> and action </w:t>
      </w:r>
      <w:proofErr w:type="gramStart"/>
      <w:r w:rsidRPr="000B686E">
        <w:rPr>
          <w:rFonts w:eastAsia="Times New Roman" w:cstheme="minorHAnsi"/>
          <w:lang w:eastAsia="en-GB"/>
        </w:rPr>
        <w:t>plan;</w:t>
      </w:r>
      <w:proofErr w:type="gramEnd"/>
    </w:p>
    <w:p w14:paraId="514A53BB" w14:textId="77777777" w:rsidR="000B686E" w:rsidRPr="000B686E" w:rsidRDefault="000B686E" w:rsidP="009F21E6">
      <w:pPr>
        <w:widowControl w:val="0"/>
        <w:numPr>
          <w:ilvl w:val="0"/>
          <w:numId w:val="21"/>
        </w:numPr>
        <w:tabs>
          <w:tab w:val="left" w:pos="0"/>
          <w:tab w:val="left" w:pos="709"/>
        </w:tabs>
        <w:spacing w:after="0" w:line="240" w:lineRule="auto"/>
        <w:ind w:left="720"/>
        <w:contextualSpacing/>
        <w:rPr>
          <w:rFonts w:eastAsia="Times New Roman" w:cstheme="minorHAnsi"/>
          <w:lang w:eastAsia="en-GB"/>
        </w:rPr>
      </w:pPr>
      <w:r w:rsidRPr="000B686E">
        <w:rPr>
          <w:rFonts w:eastAsia="Times New Roman" w:cstheme="minorHAnsi"/>
          <w:lang w:eastAsia="en-GB"/>
        </w:rPr>
        <w:t xml:space="preserve">Complete page 41 of the Home Office DHR Guidance, Data Collection form, which is not for publication and will be used by the Home Office only for data collection </w:t>
      </w:r>
      <w:proofErr w:type="gramStart"/>
      <w:r w:rsidRPr="000B686E">
        <w:rPr>
          <w:rFonts w:eastAsia="Times New Roman" w:cstheme="minorHAnsi"/>
          <w:lang w:eastAsia="en-GB"/>
        </w:rPr>
        <w:t>purposes;</w:t>
      </w:r>
      <w:proofErr w:type="gramEnd"/>
    </w:p>
    <w:p w14:paraId="2B7B1C0E" w14:textId="07581174" w:rsidR="000B686E" w:rsidRPr="000B686E" w:rsidRDefault="000B686E" w:rsidP="009F21E6">
      <w:pPr>
        <w:widowControl w:val="0"/>
        <w:numPr>
          <w:ilvl w:val="0"/>
          <w:numId w:val="21"/>
        </w:numPr>
        <w:tabs>
          <w:tab w:val="left" w:pos="0"/>
          <w:tab w:val="left" w:pos="709"/>
        </w:tabs>
        <w:spacing w:after="0" w:line="240" w:lineRule="auto"/>
        <w:ind w:left="720"/>
        <w:contextualSpacing/>
        <w:rPr>
          <w:rFonts w:eastAsia="Times New Roman" w:cstheme="minorHAnsi"/>
          <w:lang w:eastAsia="en-GB"/>
        </w:rPr>
      </w:pPr>
      <w:r w:rsidRPr="000B686E">
        <w:rPr>
          <w:rFonts w:eastAsia="Times New Roman" w:cstheme="minorHAnsi"/>
          <w:lang w:eastAsia="en-GB"/>
        </w:rPr>
        <w:t>Submit a copy of the overview report, executive summary,</w:t>
      </w:r>
      <w:r w:rsidR="00F0081B">
        <w:rPr>
          <w:rFonts w:eastAsia="Times New Roman" w:cstheme="minorHAnsi"/>
          <w:lang w:eastAsia="en-GB"/>
        </w:rPr>
        <w:t xml:space="preserve"> learning paper,</w:t>
      </w:r>
      <w:r w:rsidRPr="000B686E">
        <w:rPr>
          <w:rFonts w:eastAsia="Times New Roman" w:cstheme="minorHAnsi"/>
          <w:lang w:eastAsia="en-GB"/>
        </w:rPr>
        <w:t xml:space="preserve"> action plan and data collection form to the Home Office via a secure email to: </w:t>
      </w:r>
      <w:hyperlink r:id="rId21" w:history="1">
        <w:r w:rsidR="007767E3" w:rsidRPr="0097609A">
          <w:rPr>
            <w:rStyle w:val="Hyperlink"/>
            <w:rFonts w:eastAsia="Times New Roman" w:cstheme="minorHAnsi"/>
            <w:lang w:eastAsia="en-GB"/>
          </w:rPr>
          <w:t>DHREnquiries@homeoffice.gsi.gov.uk</w:t>
        </w:r>
      </w:hyperlink>
      <w:r w:rsidR="007767E3">
        <w:rPr>
          <w:rFonts w:eastAsia="Times New Roman" w:cstheme="minorHAnsi"/>
          <w:lang w:eastAsia="en-GB"/>
        </w:rPr>
        <w:t xml:space="preserve"> </w:t>
      </w:r>
      <w:r w:rsidRPr="000B686E">
        <w:rPr>
          <w:rFonts w:eastAsia="Times New Roman" w:cstheme="minorHAnsi"/>
          <w:lang w:eastAsia="en-GB"/>
        </w:rPr>
        <w:t xml:space="preserve"> </w:t>
      </w:r>
    </w:p>
    <w:p w14:paraId="2CF006E0" w14:textId="77777777" w:rsidR="000B686E" w:rsidRPr="000B686E" w:rsidRDefault="000B686E" w:rsidP="00CB22D6">
      <w:pPr>
        <w:autoSpaceDE w:val="0"/>
        <w:autoSpaceDN w:val="0"/>
        <w:adjustRightInd w:val="0"/>
        <w:spacing w:after="0" w:line="240" w:lineRule="auto"/>
        <w:rPr>
          <w:rFonts w:eastAsia="Times New Roman" w:cstheme="minorHAnsi"/>
          <w:lang w:eastAsia="en-GB"/>
        </w:rPr>
      </w:pPr>
    </w:p>
    <w:p w14:paraId="0F448549" w14:textId="76E95C9B" w:rsidR="000B686E" w:rsidRPr="000B686E" w:rsidRDefault="00045E00" w:rsidP="000B686E">
      <w:pPr>
        <w:tabs>
          <w:tab w:val="left" w:pos="0"/>
          <w:tab w:val="left" w:pos="1440"/>
        </w:tabs>
        <w:spacing w:after="0" w:line="240" w:lineRule="auto"/>
        <w:contextualSpacing/>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1</w:t>
      </w:r>
      <w:r w:rsidR="00B364C4">
        <w:rPr>
          <w:rFonts w:eastAsia="Times New Roman" w:cstheme="minorHAnsi"/>
          <w:lang w:eastAsia="en-GB"/>
        </w:rPr>
        <w:t>.</w:t>
      </w:r>
      <w:r w:rsidR="00F0081B">
        <w:rPr>
          <w:rFonts w:eastAsia="Times New Roman" w:cstheme="minorHAnsi"/>
          <w:lang w:eastAsia="en-GB"/>
        </w:rPr>
        <w:t>7</w:t>
      </w:r>
      <w:r w:rsidR="000B686E">
        <w:rPr>
          <w:rFonts w:eastAsia="Times New Roman" w:cstheme="minorHAnsi"/>
          <w:lang w:eastAsia="en-GB"/>
        </w:rPr>
        <w:t xml:space="preserve"> </w:t>
      </w:r>
      <w:r w:rsidR="000B686E" w:rsidRPr="000B686E">
        <w:rPr>
          <w:rFonts w:eastAsia="Times New Roman" w:cstheme="minorHAnsi"/>
          <w:lang w:eastAsia="en-GB"/>
        </w:rPr>
        <w:t>The Final Overview Report must be submitted to the Home Office</w:t>
      </w:r>
      <w:r w:rsidR="00A6145B">
        <w:rPr>
          <w:rFonts w:eastAsia="Times New Roman" w:cstheme="minorHAnsi"/>
          <w:lang w:eastAsia="en-GB"/>
        </w:rPr>
        <w:t xml:space="preserve"> as soon as is possible.</w:t>
      </w:r>
    </w:p>
    <w:p w14:paraId="52BA070D" w14:textId="77777777" w:rsidR="000B686E" w:rsidRPr="000B686E" w:rsidRDefault="000B686E" w:rsidP="000B686E">
      <w:pPr>
        <w:autoSpaceDE w:val="0"/>
        <w:autoSpaceDN w:val="0"/>
        <w:adjustRightInd w:val="0"/>
        <w:spacing w:after="0" w:line="240" w:lineRule="auto"/>
        <w:rPr>
          <w:rFonts w:eastAsia="Times New Roman" w:cstheme="minorHAnsi"/>
          <w:lang w:eastAsia="en-GB"/>
        </w:rPr>
      </w:pPr>
    </w:p>
    <w:p w14:paraId="45AD6D24" w14:textId="216F8853" w:rsidR="000B686E" w:rsidRPr="000B686E" w:rsidRDefault="00045E00" w:rsidP="000B686E">
      <w:pPr>
        <w:autoSpaceDE w:val="0"/>
        <w:autoSpaceDN w:val="0"/>
        <w:adjustRightInd w:val="0"/>
        <w:spacing w:after="0" w:line="240" w:lineRule="auto"/>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1</w:t>
      </w:r>
      <w:r w:rsidR="000B686E">
        <w:rPr>
          <w:rFonts w:eastAsia="Times New Roman" w:cstheme="minorHAnsi"/>
          <w:lang w:eastAsia="en-GB"/>
        </w:rPr>
        <w:t>.</w:t>
      </w:r>
      <w:r w:rsidR="00F0081B">
        <w:rPr>
          <w:rFonts w:eastAsia="Times New Roman" w:cstheme="minorHAnsi"/>
          <w:lang w:eastAsia="en-GB"/>
        </w:rPr>
        <w:t>8</w:t>
      </w:r>
      <w:r w:rsidR="000B686E">
        <w:rPr>
          <w:rFonts w:eastAsia="Times New Roman" w:cstheme="minorHAnsi"/>
          <w:lang w:eastAsia="en-GB"/>
        </w:rPr>
        <w:t xml:space="preserve"> </w:t>
      </w:r>
      <w:r w:rsidR="000B686E" w:rsidRPr="000B686E">
        <w:rPr>
          <w:rFonts w:eastAsia="Times New Roman" w:cstheme="minorHAnsi"/>
          <w:lang w:eastAsia="en-GB"/>
        </w:rPr>
        <w:t xml:space="preserve">The document should not be published until clearance has been received from the Home </w:t>
      </w:r>
      <w:r w:rsidR="00E876AD">
        <w:rPr>
          <w:rFonts w:eastAsia="Times New Roman" w:cstheme="minorHAnsi"/>
          <w:lang w:eastAsia="en-GB"/>
        </w:rPr>
        <w:t>Office Quality Assurance Group.</w:t>
      </w:r>
      <w:r w:rsidR="000B686E" w:rsidRPr="000B686E">
        <w:rPr>
          <w:rFonts w:eastAsia="Times New Roman" w:cstheme="minorHAnsi"/>
          <w:lang w:eastAsia="en-GB"/>
        </w:rPr>
        <w:t xml:space="preserve"> On receipt of this clearance, the L</w:t>
      </w:r>
      <w:r w:rsidR="00297C7D">
        <w:rPr>
          <w:rFonts w:eastAsia="Times New Roman" w:cstheme="minorHAnsi"/>
          <w:lang w:eastAsia="en-GB"/>
        </w:rPr>
        <w:t>DA</w:t>
      </w:r>
      <w:r w:rsidR="000B686E" w:rsidRPr="000B686E">
        <w:rPr>
          <w:rFonts w:eastAsia="Times New Roman" w:cstheme="minorHAnsi"/>
          <w:lang w:eastAsia="en-GB"/>
        </w:rPr>
        <w:t>P shall:</w:t>
      </w:r>
    </w:p>
    <w:p w14:paraId="2940DBBD" w14:textId="77777777" w:rsidR="000B686E" w:rsidRPr="000B686E" w:rsidRDefault="000B686E" w:rsidP="000B686E">
      <w:pPr>
        <w:autoSpaceDE w:val="0"/>
        <w:autoSpaceDN w:val="0"/>
        <w:adjustRightInd w:val="0"/>
        <w:spacing w:after="0" w:line="240" w:lineRule="auto"/>
        <w:rPr>
          <w:rFonts w:eastAsia="Times New Roman" w:cstheme="minorHAnsi"/>
          <w:lang w:eastAsia="en-GB"/>
        </w:rPr>
      </w:pPr>
    </w:p>
    <w:p w14:paraId="383ABD73" w14:textId="12E048F9" w:rsidR="000B686E" w:rsidRPr="000B686E" w:rsidRDefault="000B686E" w:rsidP="009F21E6">
      <w:pPr>
        <w:numPr>
          <w:ilvl w:val="0"/>
          <w:numId w:val="8"/>
        </w:numPr>
        <w:autoSpaceDE w:val="0"/>
        <w:autoSpaceDN w:val="0"/>
        <w:adjustRightInd w:val="0"/>
        <w:spacing w:after="0" w:line="240" w:lineRule="auto"/>
        <w:rPr>
          <w:rFonts w:eastAsia="Times New Roman" w:cstheme="minorHAnsi"/>
          <w:lang w:eastAsia="en-GB"/>
        </w:rPr>
      </w:pPr>
      <w:r w:rsidRPr="000B686E">
        <w:rPr>
          <w:rFonts w:eastAsia="Times New Roman" w:cstheme="minorHAnsi"/>
          <w:lang w:eastAsia="en-GB"/>
        </w:rPr>
        <w:lastRenderedPageBreak/>
        <w:t>provide a copy of the Overview Report, executive summary</w:t>
      </w:r>
      <w:r w:rsidR="00F0081B">
        <w:rPr>
          <w:rFonts w:eastAsia="Times New Roman" w:cstheme="minorHAnsi"/>
          <w:lang w:eastAsia="en-GB"/>
        </w:rPr>
        <w:t>, learning paper</w:t>
      </w:r>
      <w:r w:rsidRPr="000B686E">
        <w:rPr>
          <w:rFonts w:eastAsia="Times New Roman" w:cstheme="minorHAnsi"/>
          <w:lang w:eastAsia="en-GB"/>
        </w:rPr>
        <w:t xml:space="preserve"> and action plan to the Police and Crime Commissioner and the senior manager of each participating </w:t>
      </w:r>
      <w:proofErr w:type="gramStart"/>
      <w:r w:rsidRPr="000B686E">
        <w:rPr>
          <w:rFonts w:eastAsia="Times New Roman" w:cstheme="minorHAnsi"/>
          <w:lang w:eastAsia="en-GB"/>
        </w:rPr>
        <w:t>agency;</w:t>
      </w:r>
      <w:proofErr w:type="gramEnd"/>
    </w:p>
    <w:p w14:paraId="4082ABCF" w14:textId="77777777" w:rsidR="000B686E" w:rsidRPr="000B686E" w:rsidRDefault="000B686E" w:rsidP="009F21E6">
      <w:pPr>
        <w:numPr>
          <w:ilvl w:val="0"/>
          <w:numId w:val="8"/>
        </w:numPr>
        <w:autoSpaceDE w:val="0"/>
        <w:autoSpaceDN w:val="0"/>
        <w:adjustRightInd w:val="0"/>
        <w:spacing w:after="0" w:line="240" w:lineRule="auto"/>
        <w:rPr>
          <w:rFonts w:eastAsia="Times New Roman" w:cstheme="minorHAnsi"/>
          <w:lang w:eastAsia="en-GB"/>
        </w:rPr>
      </w:pPr>
      <w:r w:rsidRPr="000B686E">
        <w:rPr>
          <w:rFonts w:eastAsia="Times New Roman" w:cstheme="minorHAnsi"/>
          <w:lang w:eastAsia="en-GB"/>
        </w:rPr>
        <w:t xml:space="preserve">Ensure the chair, review panel and family members are involved in the publication date to consider key dates, </w:t>
      </w:r>
      <w:proofErr w:type="gramStart"/>
      <w:r w:rsidRPr="000B686E">
        <w:rPr>
          <w:rFonts w:eastAsia="Times New Roman" w:cstheme="minorHAnsi"/>
          <w:lang w:eastAsia="en-GB"/>
        </w:rPr>
        <w:t>e.g.</w:t>
      </w:r>
      <w:proofErr w:type="gramEnd"/>
      <w:r w:rsidRPr="000B686E">
        <w:rPr>
          <w:rFonts w:eastAsia="Times New Roman" w:cstheme="minorHAnsi"/>
          <w:lang w:eastAsia="en-GB"/>
        </w:rPr>
        <w:t xml:space="preserve"> the anniversary of the homicide</w:t>
      </w:r>
      <w:r w:rsidR="00CB22D6">
        <w:rPr>
          <w:rFonts w:eastAsia="Times New Roman" w:cstheme="minorHAnsi"/>
          <w:lang w:eastAsia="en-GB"/>
        </w:rPr>
        <w:t xml:space="preserve"> or the birthday of the victim;</w:t>
      </w:r>
    </w:p>
    <w:p w14:paraId="70060587" w14:textId="70074757" w:rsidR="000B686E" w:rsidRPr="009F21E6" w:rsidRDefault="000B686E" w:rsidP="000B686E">
      <w:pPr>
        <w:numPr>
          <w:ilvl w:val="0"/>
          <w:numId w:val="8"/>
        </w:numPr>
        <w:autoSpaceDE w:val="0"/>
        <w:autoSpaceDN w:val="0"/>
        <w:adjustRightInd w:val="0"/>
        <w:spacing w:after="0" w:line="240" w:lineRule="auto"/>
        <w:rPr>
          <w:rFonts w:eastAsia="Times New Roman" w:cstheme="minorHAnsi"/>
          <w:lang w:eastAsia="en-GB"/>
        </w:rPr>
      </w:pPr>
      <w:r w:rsidRPr="009F21E6">
        <w:rPr>
          <w:rFonts w:eastAsia="Times New Roman" w:cstheme="minorHAnsi"/>
          <w:lang w:eastAsia="en-GB"/>
        </w:rPr>
        <w:t>publish suitably anonymised electronic copies of the Overview Report</w:t>
      </w:r>
      <w:r w:rsidR="00F0081B">
        <w:rPr>
          <w:rFonts w:eastAsia="Times New Roman" w:cstheme="minorHAnsi"/>
          <w:lang w:eastAsia="en-GB"/>
        </w:rPr>
        <w:t>,</w:t>
      </w:r>
      <w:r w:rsidRPr="009F21E6">
        <w:rPr>
          <w:rFonts w:eastAsia="Times New Roman" w:cstheme="minorHAnsi"/>
          <w:lang w:eastAsia="en-GB"/>
        </w:rPr>
        <w:t xml:space="preserve"> Executive Summary </w:t>
      </w:r>
      <w:r w:rsidR="00F0081B" w:rsidRPr="009F21E6">
        <w:rPr>
          <w:rFonts w:eastAsia="Times New Roman" w:cstheme="minorHAnsi"/>
          <w:lang w:eastAsia="en-GB"/>
        </w:rPr>
        <w:t xml:space="preserve">and the </w:t>
      </w:r>
      <w:r w:rsidR="00F0081B">
        <w:rPr>
          <w:rFonts w:eastAsia="Times New Roman" w:cstheme="minorHAnsi"/>
          <w:lang w:eastAsia="en-GB"/>
        </w:rPr>
        <w:t xml:space="preserve">Learning paper </w:t>
      </w:r>
      <w:r w:rsidRPr="009F21E6">
        <w:rPr>
          <w:rFonts w:eastAsia="Times New Roman" w:cstheme="minorHAnsi"/>
          <w:lang w:eastAsia="en-GB"/>
        </w:rPr>
        <w:t xml:space="preserve">on the local </w:t>
      </w:r>
      <w:r w:rsidR="00297C7D">
        <w:rPr>
          <w:rFonts w:eastAsia="Times New Roman" w:cstheme="minorHAnsi"/>
          <w:lang w:eastAsia="en-GB"/>
        </w:rPr>
        <w:t>SLP</w:t>
      </w:r>
      <w:r w:rsidRPr="009F21E6">
        <w:rPr>
          <w:rFonts w:eastAsia="Times New Roman" w:cstheme="minorHAnsi"/>
          <w:lang w:eastAsia="en-GB"/>
        </w:rPr>
        <w:t xml:space="preserve"> </w:t>
      </w:r>
      <w:proofErr w:type="gramStart"/>
      <w:r w:rsidRPr="009F21E6">
        <w:rPr>
          <w:rFonts w:eastAsia="Times New Roman" w:cstheme="minorHAnsi"/>
          <w:lang w:eastAsia="en-GB"/>
        </w:rPr>
        <w:t>webpage;</w:t>
      </w:r>
      <w:proofErr w:type="gramEnd"/>
    </w:p>
    <w:p w14:paraId="320F0A60" w14:textId="55CF59EF" w:rsidR="000B686E" w:rsidRPr="009F21E6" w:rsidRDefault="000B686E" w:rsidP="000B686E">
      <w:pPr>
        <w:numPr>
          <w:ilvl w:val="0"/>
          <w:numId w:val="8"/>
        </w:numPr>
        <w:autoSpaceDE w:val="0"/>
        <w:autoSpaceDN w:val="0"/>
        <w:adjustRightInd w:val="0"/>
        <w:spacing w:after="0" w:line="240" w:lineRule="auto"/>
        <w:rPr>
          <w:rFonts w:eastAsia="Times New Roman" w:cstheme="minorHAnsi"/>
          <w:lang w:eastAsia="en-GB"/>
        </w:rPr>
      </w:pPr>
      <w:r w:rsidRPr="009F21E6">
        <w:rPr>
          <w:rFonts w:eastAsia="Times New Roman" w:cstheme="minorHAnsi"/>
          <w:lang w:eastAsia="en-GB"/>
        </w:rPr>
        <w:t>provide a copy of the overview report</w:t>
      </w:r>
      <w:r w:rsidR="00203695">
        <w:rPr>
          <w:rFonts w:eastAsia="Times New Roman" w:cstheme="minorHAnsi"/>
          <w:lang w:eastAsia="en-GB"/>
        </w:rPr>
        <w:t xml:space="preserve"> </w:t>
      </w:r>
      <w:r w:rsidRPr="009F21E6">
        <w:rPr>
          <w:rFonts w:eastAsia="Times New Roman" w:cstheme="minorHAnsi"/>
          <w:lang w:eastAsia="en-GB"/>
        </w:rPr>
        <w:t xml:space="preserve">to the </w:t>
      </w:r>
      <w:proofErr w:type="gramStart"/>
      <w:r w:rsidRPr="009F21E6">
        <w:rPr>
          <w:rFonts w:eastAsia="Times New Roman" w:cstheme="minorHAnsi"/>
          <w:lang w:eastAsia="en-GB"/>
        </w:rPr>
        <w:t>family;</w:t>
      </w:r>
      <w:proofErr w:type="gramEnd"/>
    </w:p>
    <w:p w14:paraId="060DC1F2" w14:textId="76312607" w:rsidR="000B686E" w:rsidRPr="009F21E6" w:rsidRDefault="000B686E" w:rsidP="000B686E">
      <w:pPr>
        <w:numPr>
          <w:ilvl w:val="0"/>
          <w:numId w:val="8"/>
        </w:numPr>
        <w:autoSpaceDE w:val="0"/>
        <w:autoSpaceDN w:val="0"/>
        <w:adjustRightInd w:val="0"/>
        <w:spacing w:after="0" w:line="240" w:lineRule="auto"/>
        <w:rPr>
          <w:rFonts w:eastAsia="Times New Roman" w:cstheme="minorHAnsi"/>
          <w:lang w:eastAsia="en-GB"/>
        </w:rPr>
      </w:pPr>
      <w:r w:rsidRPr="009F21E6">
        <w:rPr>
          <w:rFonts w:eastAsia="Times New Roman" w:cstheme="minorHAnsi"/>
          <w:lang w:eastAsia="en-GB"/>
        </w:rPr>
        <w:t xml:space="preserve">notify the Home Office using the email address  </w:t>
      </w:r>
      <w:hyperlink r:id="rId22" w:history="1">
        <w:r w:rsidR="00C327BF" w:rsidRPr="0097609A">
          <w:rPr>
            <w:rStyle w:val="Hyperlink"/>
            <w:rFonts w:eastAsia="Times New Roman" w:cstheme="minorHAnsi"/>
            <w:lang w:eastAsia="en-GB"/>
          </w:rPr>
          <w:t>DHREnquiries@homeoffice.gsi.gov.uk</w:t>
        </w:r>
      </w:hyperlink>
      <w:r w:rsidR="002D4A23">
        <w:rPr>
          <w:rFonts w:eastAsia="Times New Roman" w:cstheme="minorHAnsi"/>
          <w:lang w:eastAsia="en-GB"/>
        </w:rPr>
        <w:t xml:space="preserve"> </w:t>
      </w:r>
      <w:r w:rsidRPr="009F21E6">
        <w:rPr>
          <w:rFonts w:eastAsia="Times New Roman" w:cstheme="minorHAnsi"/>
          <w:lang w:eastAsia="en-GB"/>
        </w:rPr>
        <w:t>that the reports have been published and provide links</w:t>
      </w:r>
      <w:r w:rsidR="00B357C4">
        <w:rPr>
          <w:rFonts w:eastAsia="Times New Roman" w:cstheme="minorHAnsi"/>
          <w:lang w:eastAsia="en-GB"/>
        </w:rPr>
        <w:t xml:space="preserve"> an</w:t>
      </w:r>
      <w:r w:rsidR="00370A57">
        <w:rPr>
          <w:rFonts w:eastAsia="Times New Roman" w:cstheme="minorHAnsi"/>
          <w:lang w:eastAsia="en-GB"/>
        </w:rPr>
        <w:t>d copies of</w:t>
      </w:r>
      <w:r w:rsidRPr="009F21E6">
        <w:rPr>
          <w:rFonts w:eastAsia="Times New Roman" w:cstheme="minorHAnsi"/>
          <w:lang w:eastAsia="en-GB"/>
        </w:rPr>
        <w:t xml:space="preserve"> the reports</w:t>
      </w:r>
      <w:r w:rsidR="00370A57">
        <w:rPr>
          <w:rFonts w:eastAsia="Times New Roman" w:cstheme="minorHAnsi"/>
          <w:lang w:eastAsia="en-GB"/>
        </w:rPr>
        <w:t xml:space="preserve"> and feedback letter</w:t>
      </w:r>
      <w:r w:rsidR="001851E5">
        <w:rPr>
          <w:rFonts w:eastAsia="Times New Roman" w:cstheme="minorHAnsi"/>
          <w:lang w:eastAsia="en-GB"/>
        </w:rPr>
        <w:t>, copying in the Domestic Abuse Commissioner to this email</w:t>
      </w:r>
      <w:r w:rsidRPr="009F21E6">
        <w:rPr>
          <w:rFonts w:eastAsia="Times New Roman" w:cstheme="minorHAnsi"/>
          <w:lang w:eastAsia="en-GB"/>
        </w:rPr>
        <w:t>;</w:t>
      </w:r>
    </w:p>
    <w:p w14:paraId="58D615D0" w14:textId="42E9B8D7" w:rsidR="000B686E" w:rsidRPr="009F21E6" w:rsidRDefault="000B686E" w:rsidP="000B686E">
      <w:pPr>
        <w:numPr>
          <w:ilvl w:val="0"/>
          <w:numId w:val="8"/>
        </w:numPr>
        <w:autoSpaceDE w:val="0"/>
        <w:autoSpaceDN w:val="0"/>
        <w:adjustRightInd w:val="0"/>
        <w:spacing w:after="0" w:line="240" w:lineRule="auto"/>
        <w:rPr>
          <w:rFonts w:eastAsia="Times New Roman" w:cstheme="minorHAnsi"/>
          <w:lang w:eastAsia="en-GB"/>
        </w:rPr>
      </w:pPr>
      <w:r w:rsidRPr="009F21E6">
        <w:rPr>
          <w:rFonts w:eastAsia="Times New Roman" w:cstheme="minorHAnsi"/>
          <w:lang w:eastAsia="en-GB"/>
        </w:rPr>
        <w:t>monitor implementation of the actions set out in the action plan</w:t>
      </w:r>
      <w:r w:rsidR="00CA4375">
        <w:rPr>
          <w:rFonts w:eastAsia="Times New Roman" w:cstheme="minorHAnsi"/>
          <w:lang w:eastAsia="en-GB"/>
        </w:rPr>
        <w:t xml:space="preserve"> via the DHR sub-</w:t>
      </w:r>
      <w:proofErr w:type="gramStart"/>
      <w:r w:rsidR="00CA4375">
        <w:rPr>
          <w:rFonts w:eastAsia="Times New Roman" w:cstheme="minorHAnsi"/>
          <w:lang w:eastAsia="en-GB"/>
        </w:rPr>
        <w:t>group</w:t>
      </w:r>
      <w:r w:rsidRPr="009F21E6">
        <w:rPr>
          <w:rFonts w:eastAsia="Times New Roman" w:cstheme="minorHAnsi"/>
          <w:lang w:eastAsia="en-GB"/>
        </w:rPr>
        <w:t>;</w:t>
      </w:r>
      <w:proofErr w:type="gramEnd"/>
      <w:r w:rsidR="002D4A23">
        <w:rPr>
          <w:rFonts w:eastAsia="Times New Roman" w:cstheme="minorHAnsi"/>
          <w:lang w:eastAsia="en-GB"/>
        </w:rPr>
        <w:t xml:space="preserve"> </w:t>
      </w:r>
    </w:p>
    <w:p w14:paraId="280FAF8B" w14:textId="1967EB6B" w:rsidR="000B686E" w:rsidRPr="000B686E" w:rsidRDefault="000B686E" w:rsidP="009F21E6">
      <w:pPr>
        <w:numPr>
          <w:ilvl w:val="0"/>
          <w:numId w:val="8"/>
        </w:numPr>
        <w:autoSpaceDE w:val="0"/>
        <w:autoSpaceDN w:val="0"/>
        <w:adjustRightInd w:val="0"/>
        <w:spacing w:after="0" w:line="240" w:lineRule="auto"/>
        <w:rPr>
          <w:rFonts w:eastAsia="Times New Roman" w:cstheme="minorHAnsi"/>
          <w:lang w:eastAsia="en-GB"/>
        </w:rPr>
      </w:pPr>
      <w:r w:rsidRPr="000B686E">
        <w:rPr>
          <w:rFonts w:eastAsia="Times New Roman" w:cstheme="minorHAnsi"/>
          <w:lang w:eastAsia="en-GB"/>
        </w:rPr>
        <w:t>formally conclude the review when the Actio</w:t>
      </w:r>
      <w:r w:rsidR="00E876AD">
        <w:rPr>
          <w:rFonts w:eastAsia="Times New Roman" w:cstheme="minorHAnsi"/>
          <w:lang w:eastAsia="en-GB"/>
        </w:rPr>
        <w:t>n Plan has been implemented and</w:t>
      </w:r>
      <w:r w:rsidRPr="000B686E">
        <w:rPr>
          <w:rFonts w:eastAsia="Times New Roman" w:cstheme="minorHAnsi"/>
          <w:lang w:eastAsia="en-GB"/>
        </w:rPr>
        <w:t xml:space="preserve"> include an audit process: by adding the actions from this DHR to the amalgamated list of all actions from all DHRs and making sure that the Domestic Abuse </w:t>
      </w:r>
      <w:r w:rsidR="00297C7D">
        <w:rPr>
          <w:rFonts w:eastAsia="Times New Roman" w:cstheme="minorHAnsi"/>
          <w:lang w:eastAsia="en-GB"/>
        </w:rPr>
        <w:t>Operational</w:t>
      </w:r>
      <w:r w:rsidRPr="000B686E">
        <w:rPr>
          <w:rFonts w:eastAsia="Times New Roman" w:cstheme="minorHAnsi"/>
          <w:lang w:eastAsia="en-GB"/>
        </w:rPr>
        <w:t xml:space="preserve"> Group</w:t>
      </w:r>
      <w:r w:rsidR="00F0081B">
        <w:rPr>
          <w:rFonts w:eastAsia="Times New Roman" w:cstheme="minorHAnsi"/>
          <w:lang w:eastAsia="en-GB"/>
        </w:rPr>
        <w:t xml:space="preserve"> and DHR Subgroup</w:t>
      </w:r>
      <w:r w:rsidRPr="000B686E">
        <w:rPr>
          <w:rFonts w:eastAsia="Times New Roman" w:cstheme="minorHAnsi"/>
          <w:lang w:eastAsia="en-GB"/>
        </w:rPr>
        <w:t xml:space="preserve"> address any outstanding actions at each of their quarterly meetings.</w:t>
      </w:r>
    </w:p>
    <w:p w14:paraId="7CCE3F4F" w14:textId="77777777" w:rsidR="000B686E" w:rsidRDefault="000B686E" w:rsidP="000B686E">
      <w:pPr>
        <w:spacing w:after="0" w:line="240" w:lineRule="auto"/>
        <w:rPr>
          <w:rFonts w:eastAsia="Times New Roman" w:cstheme="minorHAnsi"/>
          <w:lang w:eastAsia="en-GB"/>
        </w:rPr>
      </w:pPr>
    </w:p>
    <w:p w14:paraId="0F5FB569" w14:textId="3E4A32F9" w:rsidR="000B686E" w:rsidRDefault="00045E00" w:rsidP="00BB4432">
      <w:pPr>
        <w:spacing w:after="0"/>
        <w:rPr>
          <w:rFonts w:eastAsia="Times New Roman" w:cstheme="minorHAnsi"/>
          <w:b/>
          <w:lang w:eastAsia="en-GB"/>
        </w:rPr>
      </w:pPr>
      <w:r>
        <w:rPr>
          <w:rFonts w:eastAsia="Times New Roman" w:cstheme="minorHAnsi"/>
          <w:lang w:eastAsia="en-GB"/>
        </w:rPr>
        <w:t>1</w:t>
      </w:r>
      <w:r w:rsidR="009E5FB4">
        <w:rPr>
          <w:rFonts w:eastAsia="Times New Roman" w:cstheme="minorHAnsi"/>
          <w:lang w:eastAsia="en-GB"/>
        </w:rPr>
        <w:t>1</w:t>
      </w:r>
      <w:r w:rsidR="000B686E">
        <w:rPr>
          <w:rFonts w:eastAsia="Times New Roman" w:cstheme="minorHAnsi"/>
          <w:lang w:eastAsia="en-GB"/>
        </w:rPr>
        <w:t>.</w:t>
      </w:r>
      <w:r w:rsidR="00F0081B">
        <w:rPr>
          <w:rFonts w:eastAsia="Times New Roman" w:cstheme="minorHAnsi"/>
          <w:lang w:eastAsia="en-GB"/>
        </w:rPr>
        <w:t>9</w:t>
      </w:r>
      <w:r w:rsidR="000B686E">
        <w:rPr>
          <w:rFonts w:eastAsia="Times New Roman" w:cstheme="minorHAnsi"/>
          <w:lang w:eastAsia="en-GB"/>
        </w:rPr>
        <w:t xml:space="preserve"> </w:t>
      </w:r>
      <w:r w:rsidR="000B686E" w:rsidRPr="000B686E">
        <w:rPr>
          <w:rFonts w:eastAsia="Times New Roman" w:cstheme="minorHAnsi"/>
          <w:b/>
          <w:lang w:eastAsia="en-GB"/>
        </w:rPr>
        <w:t xml:space="preserve">In all cases, where lessons </w:t>
      </w:r>
      <w:proofErr w:type="gramStart"/>
      <w:r w:rsidR="000B686E" w:rsidRPr="000B686E">
        <w:rPr>
          <w:rFonts w:eastAsia="Times New Roman" w:cstheme="minorHAnsi"/>
          <w:b/>
          <w:lang w:eastAsia="en-GB"/>
        </w:rPr>
        <w:t>are able to</w:t>
      </w:r>
      <w:proofErr w:type="gramEnd"/>
      <w:r w:rsidR="000B686E" w:rsidRPr="000B686E">
        <w:rPr>
          <w:rFonts w:eastAsia="Times New Roman" w:cstheme="minorHAnsi"/>
          <w:b/>
          <w:lang w:eastAsia="en-GB"/>
        </w:rPr>
        <w:t xml:space="preserve"> be drawn </w:t>
      </w:r>
      <w:r w:rsidR="001D7D3E" w:rsidRPr="000B686E">
        <w:rPr>
          <w:rFonts w:eastAsia="Times New Roman" w:cstheme="minorHAnsi"/>
          <w:b/>
          <w:lang w:eastAsia="en-GB"/>
        </w:rPr>
        <w:t>out,</w:t>
      </w:r>
      <w:r w:rsidR="000B686E" w:rsidRPr="000B686E">
        <w:rPr>
          <w:rFonts w:eastAsia="Times New Roman" w:cstheme="minorHAnsi"/>
          <w:b/>
          <w:lang w:eastAsia="en-GB"/>
        </w:rPr>
        <w:t xml:space="preserve"> they should be acted upon as quickly as possible without necessarily waiti</w:t>
      </w:r>
      <w:r w:rsidR="00CB22D6">
        <w:rPr>
          <w:rFonts w:eastAsia="Times New Roman" w:cstheme="minorHAnsi"/>
          <w:b/>
          <w:lang w:eastAsia="en-GB"/>
        </w:rPr>
        <w:t>ng for the DHR to be completed.</w:t>
      </w:r>
    </w:p>
    <w:p w14:paraId="65BF2C6C" w14:textId="77777777" w:rsidR="00CB22D6" w:rsidRDefault="00CB22D6" w:rsidP="00BB4432">
      <w:pPr>
        <w:spacing w:after="0"/>
        <w:rPr>
          <w:rFonts w:eastAsia="Times New Roman" w:cstheme="minorHAnsi"/>
          <w:b/>
          <w:lang w:eastAsia="en-GB"/>
        </w:rPr>
      </w:pPr>
    </w:p>
    <w:p w14:paraId="72181CAC" w14:textId="68CD5AE7" w:rsidR="000E4A3B" w:rsidRPr="001C7B04" w:rsidRDefault="00045E00" w:rsidP="00BB4432">
      <w:pPr>
        <w:spacing w:after="0"/>
        <w:rPr>
          <w:rFonts w:eastAsia="Times New Roman" w:cstheme="minorHAnsi"/>
          <w:b/>
          <w:u w:val="single"/>
          <w:lang w:eastAsia="en-GB"/>
        </w:rPr>
      </w:pPr>
      <w:r>
        <w:rPr>
          <w:rFonts w:eastAsia="Times New Roman" w:cstheme="minorHAnsi"/>
          <w:b/>
          <w:u w:val="single"/>
          <w:lang w:eastAsia="en-GB"/>
        </w:rPr>
        <w:t>1</w:t>
      </w:r>
      <w:r w:rsidR="009E5FB4">
        <w:rPr>
          <w:rFonts w:eastAsia="Times New Roman" w:cstheme="minorHAnsi"/>
          <w:b/>
          <w:u w:val="single"/>
          <w:lang w:eastAsia="en-GB"/>
        </w:rPr>
        <w:t>2</w:t>
      </w:r>
      <w:r w:rsidR="000E4A3B" w:rsidRPr="001C7B04">
        <w:rPr>
          <w:rFonts w:eastAsia="Times New Roman" w:cstheme="minorHAnsi"/>
          <w:b/>
          <w:u w:val="single"/>
          <w:lang w:eastAsia="en-GB"/>
        </w:rPr>
        <w:t xml:space="preserve">. </w:t>
      </w:r>
      <w:bookmarkStart w:id="10" w:name="DisclosureAndCriminalProceedings"/>
      <w:r w:rsidR="00DD1FDE">
        <w:rPr>
          <w:rFonts w:eastAsia="Times New Roman" w:cstheme="minorHAnsi"/>
          <w:b/>
          <w:u w:val="single"/>
          <w:lang w:eastAsia="en-GB"/>
        </w:rPr>
        <w:t>DISCLOSURE AND CRIMIN</w:t>
      </w:r>
      <w:r w:rsidR="000E4A3B" w:rsidRPr="001C7B04">
        <w:rPr>
          <w:rFonts w:eastAsia="Times New Roman" w:cstheme="minorHAnsi"/>
          <w:b/>
          <w:u w:val="single"/>
          <w:lang w:eastAsia="en-GB"/>
        </w:rPr>
        <w:t>AL PROCEEDINGS</w:t>
      </w:r>
      <w:bookmarkEnd w:id="10"/>
    </w:p>
    <w:p w14:paraId="2210F2D7" w14:textId="77777777" w:rsidR="000E4A3B" w:rsidRDefault="000E4A3B" w:rsidP="00BB4432">
      <w:pPr>
        <w:spacing w:after="0"/>
        <w:rPr>
          <w:rFonts w:eastAsia="Times New Roman" w:cstheme="minorHAnsi"/>
          <w:b/>
          <w:lang w:eastAsia="en-GB"/>
        </w:rPr>
      </w:pPr>
    </w:p>
    <w:p w14:paraId="7F40DB6C" w14:textId="5DB09274" w:rsidR="000E4A3B" w:rsidRPr="00F228EE" w:rsidRDefault="00045E00" w:rsidP="00BB4432">
      <w:pPr>
        <w:spacing w:after="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0E4A3B" w:rsidRPr="00F228EE">
        <w:rPr>
          <w:rFonts w:eastAsia="Times New Roman" w:cstheme="minorHAnsi"/>
          <w:lang w:eastAsia="en-GB"/>
        </w:rPr>
        <w:t xml:space="preserve">.1 </w:t>
      </w:r>
      <w:r w:rsidR="00D708B4" w:rsidRPr="00D708B4">
        <w:rPr>
          <w:rFonts w:eastAsia="Times New Roman" w:cstheme="minorHAnsi"/>
          <w:lang w:eastAsia="en-GB"/>
        </w:rPr>
        <w:t>Disclosure is one of the most important issues in the criminal justice system and the application of proper and fair disclosure is a vital component of a fair criminal justice system. All disclosure issues must be discussed with the police SIO, the CPS and the HM Coroner’s representative as appropriate. Regard must also be given to the Criminal Procedure and Investigations Act 1996.</w:t>
      </w:r>
    </w:p>
    <w:p w14:paraId="762EBCB6" w14:textId="77777777" w:rsidR="000E4A3B" w:rsidRPr="000E4A3B" w:rsidRDefault="000E4A3B" w:rsidP="00CB22D6">
      <w:pPr>
        <w:spacing w:after="0"/>
        <w:rPr>
          <w:rFonts w:eastAsia="Times New Roman" w:cstheme="minorHAnsi"/>
          <w:lang w:eastAsia="en-GB"/>
        </w:rPr>
      </w:pPr>
    </w:p>
    <w:p w14:paraId="7A0A8355" w14:textId="3A5DDFCA" w:rsidR="000E4A3B" w:rsidRPr="00F228EE" w:rsidRDefault="00045E00" w:rsidP="00BB4432">
      <w:pPr>
        <w:spacing w:after="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F228EE" w:rsidRPr="00F228EE">
        <w:rPr>
          <w:rFonts w:eastAsia="Times New Roman" w:cstheme="minorHAnsi"/>
          <w:lang w:eastAsia="en-GB"/>
        </w:rPr>
        <w:t xml:space="preserve">.2 </w:t>
      </w:r>
      <w:r w:rsidR="002C7895" w:rsidRPr="002C7895">
        <w:rPr>
          <w:rFonts w:eastAsia="Times New Roman" w:cstheme="minorHAnsi"/>
          <w:lang w:eastAsia="en-GB"/>
        </w:rPr>
        <w:t xml:space="preserve">There may be homicides where the investigator believes that a third party (for example, a local authority or social care organisation) has relevant material or information. In such cases, if the material or information might reasonably be considered capable of undermining the prosecution case or of assisting the case for the accused, prosecutors are asked to take steps they regard as appropriate to obtain it and review to decide whether it </w:t>
      </w:r>
      <w:proofErr w:type="gramStart"/>
      <w:r w:rsidR="002C7895" w:rsidRPr="002C7895">
        <w:rPr>
          <w:rFonts w:eastAsia="Times New Roman" w:cstheme="minorHAnsi"/>
          <w:lang w:eastAsia="en-GB"/>
        </w:rPr>
        <w:t>has to</w:t>
      </w:r>
      <w:proofErr w:type="gramEnd"/>
      <w:r w:rsidR="002C7895" w:rsidRPr="002C7895">
        <w:rPr>
          <w:rFonts w:eastAsia="Times New Roman" w:cstheme="minorHAnsi"/>
          <w:lang w:eastAsia="en-GB"/>
        </w:rPr>
        <w:t xml:space="preserve"> be disclosed to the defence. This may include applying for a witness summons requiring a representative of the ‘third party’ to produce the material to the court.</w:t>
      </w:r>
    </w:p>
    <w:p w14:paraId="005D3F68" w14:textId="77777777" w:rsidR="00F4577D" w:rsidRDefault="00F4577D" w:rsidP="00BB4432">
      <w:pPr>
        <w:pStyle w:val="ListParagraph"/>
        <w:spacing w:after="0"/>
        <w:ind w:left="0"/>
        <w:rPr>
          <w:rFonts w:eastAsia="Times New Roman" w:cstheme="minorHAnsi"/>
          <w:lang w:eastAsia="en-GB"/>
        </w:rPr>
      </w:pPr>
    </w:p>
    <w:p w14:paraId="14561F13" w14:textId="05A806BB" w:rsidR="000E4A3B" w:rsidRDefault="00045E00" w:rsidP="00BB4432">
      <w:pPr>
        <w:pStyle w:val="ListParagraph"/>
        <w:spacing w:after="0"/>
        <w:ind w:left="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F228EE">
        <w:rPr>
          <w:rFonts w:eastAsia="Times New Roman" w:cstheme="minorHAnsi"/>
          <w:lang w:eastAsia="en-GB"/>
        </w:rPr>
        <w:t xml:space="preserve">.3 </w:t>
      </w:r>
      <w:r w:rsidR="007D5FE6" w:rsidRPr="007D5FE6">
        <w:rPr>
          <w:rFonts w:eastAsia="Times New Roman" w:cstheme="minorHAnsi"/>
          <w:lang w:eastAsia="en-GB"/>
        </w:rPr>
        <w:t xml:space="preserve">Dependent on the case, material gathered </w:t>
      </w:r>
      <w:proofErr w:type="gramStart"/>
      <w:r w:rsidR="007D5FE6" w:rsidRPr="007D5FE6">
        <w:rPr>
          <w:rFonts w:eastAsia="Times New Roman" w:cstheme="minorHAnsi"/>
          <w:lang w:eastAsia="en-GB"/>
        </w:rPr>
        <w:t>in the course of</w:t>
      </w:r>
      <w:proofErr w:type="gramEnd"/>
      <w:r w:rsidR="007D5FE6" w:rsidRPr="007D5FE6">
        <w:rPr>
          <w:rFonts w:eastAsia="Times New Roman" w:cstheme="minorHAnsi"/>
          <w:lang w:eastAsia="en-GB"/>
        </w:rPr>
        <w:t xml:space="preserve"> a DHR may be capable of assisting the defence case and would almost certainly be material that the defence would seek to gain access to. If a DHR is being conducted in parallel to a criminal investigation, the disclosure officer will be obliged to inform the prosecutor. Any interviews with other agency staff, documents, case conferences etc may all become disclosable. It is the responsibility of a disclosure officer to link in with the review panel chair. It is incumbent on the chair to ensure that there is a robust process in place for the purpose of disclosure to the disclosure officer responsible for the criminal investigation.</w:t>
      </w:r>
    </w:p>
    <w:p w14:paraId="26578B70" w14:textId="77777777" w:rsidR="00666B09" w:rsidRPr="000E4A3B" w:rsidRDefault="00666B09" w:rsidP="00BB4432">
      <w:pPr>
        <w:pStyle w:val="ListParagraph"/>
        <w:spacing w:after="0"/>
        <w:ind w:left="0"/>
        <w:rPr>
          <w:rFonts w:eastAsia="Times New Roman" w:cstheme="minorHAnsi"/>
          <w:lang w:eastAsia="en-GB"/>
        </w:rPr>
      </w:pPr>
    </w:p>
    <w:p w14:paraId="46F2C869" w14:textId="5336A492" w:rsidR="00F228EE" w:rsidRDefault="00666B09" w:rsidP="00BB4432">
      <w:pPr>
        <w:spacing w:after="0"/>
        <w:rPr>
          <w:rFonts w:eastAsia="Times New Roman" w:cstheme="minorHAnsi"/>
          <w:lang w:eastAsia="en-GB"/>
        </w:rPr>
      </w:pPr>
      <w:r w:rsidRPr="00666B09">
        <w:rPr>
          <w:rFonts w:eastAsia="Times New Roman" w:cstheme="minorHAnsi"/>
          <w:b/>
          <w:bCs/>
          <w:lang w:eastAsia="en-GB"/>
        </w:rPr>
        <w:t>Circumstances where the perpetrator is arrested and charged</w:t>
      </w:r>
      <w:r>
        <w:rPr>
          <w:rFonts w:eastAsia="Times New Roman" w:cstheme="minorHAnsi"/>
          <w:lang w:eastAsia="en-GB"/>
        </w:rPr>
        <w:t xml:space="preserve"> –</w:t>
      </w:r>
    </w:p>
    <w:p w14:paraId="0AA00FBD" w14:textId="55FC82E6" w:rsidR="00A51D37" w:rsidRPr="00A51D37" w:rsidRDefault="00045E00" w:rsidP="00A51D37">
      <w:pPr>
        <w:spacing w:after="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F228EE">
        <w:rPr>
          <w:rFonts w:eastAsia="Times New Roman" w:cstheme="minorHAnsi"/>
          <w:lang w:eastAsia="en-GB"/>
        </w:rPr>
        <w:t>.4</w:t>
      </w:r>
      <w:r w:rsidR="00666B09">
        <w:rPr>
          <w:rFonts w:eastAsia="Times New Roman" w:cstheme="minorHAnsi"/>
          <w:lang w:eastAsia="en-GB"/>
        </w:rPr>
        <w:t xml:space="preserve"> </w:t>
      </w:r>
      <w:r w:rsidR="00A51D37" w:rsidRPr="00A51D37">
        <w:rPr>
          <w:rFonts w:eastAsia="Times New Roman" w:cstheme="minorHAnsi"/>
          <w:lang w:eastAsia="en-GB"/>
        </w:rPr>
        <w:t>In cases where the perpetrator is arrested and charged, one of the following two outcomes may occur:</w:t>
      </w:r>
    </w:p>
    <w:p w14:paraId="39887B3C" w14:textId="38A7C42C" w:rsidR="00A51D37" w:rsidRPr="00A51D37" w:rsidRDefault="00A51D37" w:rsidP="00A51D37">
      <w:pPr>
        <w:spacing w:after="0"/>
        <w:ind w:left="720"/>
        <w:rPr>
          <w:rFonts w:eastAsia="Times New Roman" w:cstheme="minorHAnsi"/>
          <w:lang w:eastAsia="en-GB"/>
        </w:rPr>
      </w:pPr>
      <w:r w:rsidRPr="00A51D37">
        <w:rPr>
          <w:rFonts w:eastAsia="Times New Roman" w:cstheme="minorHAnsi"/>
          <w:lang w:eastAsia="en-GB"/>
        </w:rPr>
        <w:lastRenderedPageBreak/>
        <w:t>a) that the DHR be pended until after the outcome of any criminal proceedings;</w:t>
      </w:r>
      <w:r w:rsidR="00860B63">
        <w:rPr>
          <w:rFonts w:eastAsia="Times New Roman" w:cstheme="minorHAnsi"/>
          <w:lang w:eastAsia="en-GB"/>
        </w:rPr>
        <w:t xml:space="preserve"> </w:t>
      </w:r>
      <w:r w:rsidR="00860B63" w:rsidRPr="00860B63">
        <w:rPr>
          <w:rFonts w:eastAsia="Times New Roman" w:cstheme="minorHAnsi"/>
          <w:lang w:eastAsia="en-GB"/>
        </w:rPr>
        <w:t>(in Lincolnshire this is often the preferred course of action)</w:t>
      </w:r>
    </w:p>
    <w:p w14:paraId="7E2EF3CB" w14:textId="43EC81C4" w:rsidR="00BB4432" w:rsidRDefault="00A51D37" w:rsidP="00A51D37">
      <w:pPr>
        <w:spacing w:after="0"/>
        <w:ind w:left="720"/>
        <w:rPr>
          <w:rFonts w:eastAsia="Times New Roman" w:cstheme="minorHAnsi"/>
          <w:lang w:eastAsia="en-GB"/>
        </w:rPr>
      </w:pPr>
      <w:r w:rsidRPr="00A51D37">
        <w:rPr>
          <w:rFonts w:eastAsia="Times New Roman" w:cstheme="minorHAnsi"/>
          <w:lang w:eastAsia="en-GB"/>
        </w:rPr>
        <w:t>b) that the scope of the DHR is temporarily restricted until after the outcome of any criminal proceedings, such as consideration being given to not interviewing people who may be witnesses or defendants in criminal proceedings until the criminal justice need has been satisfied. Where a restriction in scope is being considered, this should be for a defined need and/or applicable to named individuals.</w:t>
      </w:r>
    </w:p>
    <w:p w14:paraId="4DCAF66F" w14:textId="77777777" w:rsidR="000A1C77" w:rsidRDefault="000A1C77" w:rsidP="00BB4432">
      <w:pPr>
        <w:spacing w:after="0"/>
        <w:rPr>
          <w:rFonts w:eastAsia="Times New Roman" w:cstheme="minorHAnsi"/>
          <w:lang w:eastAsia="en-GB"/>
        </w:rPr>
      </w:pPr>
    </w:p>
    <w:p w14:paraId="6A4BAE73" w14:textId="35CBF452" w:rsidR="00BB4432" w:rsidRPr="00BB4432" w:rsidRDefault="00045E00" w:rsidP="00BB4432">
      <w:pPr>
        <w:spacing w:after="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BB4432">
        <w:rPr>
          <w:rFonts w:eastAsia="Times New Roman" w:cstheme="minorHAnsi"/>
          <w:lang w:eastAsia="en-GB"/>
        </w:rPr>
        <w:t xml:space="preserve">.5 </w:t>
      </w:r>
      <w:r w:rsidR="00F72135" w:rsidRPr="00F72135">
        <w:rPr>
          <w:rFonts w:eastAsia="Times New Roman" w:cstheme="minorHAnsi"/>
          <w:lang w:eastAsia="en-GB"/>
        </w:rPr>
        <w:t>In either outcome, the overview report could be considered in draft form until after the criminal trial as organisational intra and inter learning needs to take place. However, consideration should be given before releasing an early draft on whether it could be potentially misleading if there is more evidence/information to come.</w:t>
      </w:r>
    </w:p>
    <w:p w14:paraId="74706DC8" w14:textId="77777777" w:rsidR="00BB4432" w:rsidRDefault="00BB4432" w:rsidP="00BB4432">
      <w:pPr>
        <w:spacing w:after="0"/>
        <w:rPr>
          <w:rFonts w:eastAsia="Times New Roman" w:cstheme="minorHAnsi"/>
          <w:lang w:eastAsia="en-GB"/>
        </w:rPr>
      </w:pPr>
    </w:p>
    <w:p w14:paraId="17B412CB" w14:textId="77EE8E87" w:rsidR="00957C14" w:rsidRDefault="00045E00" w:rsidP="00BB4432">
      <w:pPr>
        <w:spacing w:after="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BB4432">
        <w:rPr>
          <w:rFonts w:eastAsia="Times New Roman" w:cstheme="minorHAnsi"/>
          <w:lang w:eastAsia="en-GB"/>
        </w:rPr>
        <w:t xml:space="preserve">.6 </w:t>
      </w:r>
      <w:r w:rsidR="00342EBD" w:rsidRPr="00342EBD">
        <w:rPr>
          <w:rFonts w:eastAsia="Times New Roman" w:cstheme="minorHAnsi"/>
          <w:lang w:eastAsia="en-GB"/>
        </w:rPr>
        <w:t xml:space="preserve">Regardless of the outcome, every effort should be taken to ensure that learning arising from the homicide is taken forward where this does not compromise the integrity of relevant criminal proceedings. It is essential that necessary learning is not delayed </w:t>
      </w:r>
      <w:proofErr w:type="gramStart"/>
      <w:r w:rsidR="00342EBD" w:rsidRPr="00342EBD">
        <w:rPr>
          <w:rFonts w:eastAsia="Times New Roman" w:cstheme="minorHAnsi"/>
          <w:lang w:eastAsia="en-GB"/>
        </w:rPr>
        <w:t>to prevent</w:t>
      </w:r>
      <w:proofErr w:type="gramEnd"/>
      <w:r w:rsidR="00342EBD" w:rsidRPr="00342EBD">
        <w:rPr>
          <w:rFonts w:eastAsia="Times New Roman" w:cstheme="minorHAnsi"/>
          <w:lang w:eastAsia="en-GB"/>
        </w:rPr>
        <w:t xml:space="preserve"> the same mistakes being replicated in other cases. In these circumstances, the review panel should ensure records are reviewed and a chronology drawn up to identify any immediate</w:t>
      </w:r>
      <w:r w:rsidR="00342EBD">
        <w:rPr>
          <w:rFonts w:eastAsia="Times New Roman" w:cstheme="minorHAnsi"/>
          <w:lang w:eastAsia="en-GB"/>
        </w:rPr>
        <w:t xml:space="preserve"> </w:t>
      </w:r>
      <w:r w:rsidR="00342EBD" w:rsidRPr="00342EBD">
        <w:rPr>
          <w:rFonts w:eastAsia="Times New Roman" w:cstheme="minorHAnsi"/>
          <w:lang w:eastAsia="en-GB"/>
        </w:rPr>
        <w:t>lessons to be learned (an immediate IMR). These should be brought to the attention of the relevant agency or agencies for action, secured for the subsequent overview report and forwarded to the disclosure officer for the criminal case. Any identified recommendations should be taken forward without delay.</w:t>
      </w:r>
    </w:p>
    <w:p w14:paraId="18223039" w14:textId="77777777" w:rsidR="00BB4432" w:rsidRDefault="00BB4432" w:rsidP="00BB4432">
      <w:pPr>
        <w:spacing w:after="0"/>
        <w:rPr>
          <w:rFonts w:eastAsia="Times New Roman" w:cstheme="minorHAnsi"/>
          <w:lang w:eastAsia="en-GB"/>
        </w:rPr>
      </w:pPr>
    </w:p>
    <w:p w14:paraId="1C3B10BC" w14:textId="511F8312" w:rsidR="00BB4432" w:rsidRDefault="00045E00" w:rsidP="00BB4432">
      <w:pPr>
        <w:spacing w:after="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BB4432">
        <w:rPr>
          <w:rFonts w:eastAsia="Times New Roman" w:cstheme="minorHAnsi"/>
          <w:lang w:eastAsia="en-GB"/>
        </w:rPr>
        <w:t xml:space="preserve">.7 </w:t>
      </w:r>
      <w:r w:rsidR="00B7693A" w:rsidRPr="00B7693A">
        <w:rPr>
          <w:rFonts w:eastAsia="Times New Roman" w:cstheme="minorHAnsi"/>
          <w:lang w:eastAsia="en-GB"/>
        </w:rPr>
        <w:t xml:space="preserve">It is permissible for the review panel to carry out further work in relation to the review in tandem during ongoing criminal proceedings, for example, conducting professional interviews, producing a draft overview report. However, any such work must </w:t>
      </w:r>
      <w:proofErr w:type="gramStart"/>
      <w:r w:rsidR="00B7693A" w:rsidRPr="00B7693A">
        <w:rPr>
          <w:rFonts w:eastAsia="Times New Roman" w:cstheme="minorHAnsi"/>
          <w:lang w:eastAsia="en-GB"/>
        </w:rPr>
        <w:t>take into account</w:t>
      </w:r>
      <w:proofErr w:type="gramEnd"/>
      <w:r w:rsidR="00B7693A" w:rsidRPr="00B7693A">
        <w:rPr>
          <w:rFonts w:eastAsia="Times New Roman" w:cstheme="minorHAnsi"/>
          <w:lang w:eastAsia="en-GB"/>
        </w:rPr>
        <w:t xml:space="preserve"> the views of the SIO to ensure that the criminal proceedings are not compromised.</w:t>
      </w:r>
    </w:p>
    <w:p w14:paraId="71C468FC" w14:textId="77777777" w:rsidR="00B7693A" w:rsidRPr="00BB4432" w:rsidRDefault="00B7693A" w:rsidP="00BB4432">
      <w:pPr>
        <w:spacing w:after="0"/>
        <w:rPr>
          <w:rFonts w:eastAsia="Times New Roman" w:cstheme="minorHAnsi"/>
          <w:lang w:eastAsia="en-GB"/>
        </w:rPr>
      </w:pPr>
    </w:p>
    <w:p w14:paraId="20FDCC19" w14:textId="07361367" w:rsidR="000E4A3B" w:rsidRDefault="00045E00" w:rsidP="00BB4432">
      <w:pPr>
        <w:spacing w:after="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BB4432">
        <w:rPr>
          <w:rFonts w:eastAsia="Times New Roman" w:cstheme="minorHAnsi"/>
          <w:lang w:eastAsia="en-GB"/>
        </w:rPr>
        <w:t xml:space="preserve">.8 </w:t>
      </w:r>
      <w:r w:rsidR="00D025F3" w:rsidRPr="00D025F3">
        <w:rPr>
          <w:rFonts w:eastAsia="Times New Roman" w:cstheme="minorHAnsi"/>
          <w:lang w:eastAsia="en-GB"/>
        </w:rPr>
        <w:t>All material generated or obtained in the DHR whilst the criminal case is ongoing must be made available to the SIO and disclosure officer to assess whether it is relevant to the criminal case. Where it is relevant, it will be for the CPS to decide whether it should be disclosed to the defence. Where the material is sensitive, the CPS or the SIO will consult with the chair before disclosure is made to the defence. Sensitive material in this context can be “any material the disclosure of which he or she believes would give rise to a real risk of serious prejudice to an important public interest and the reason for that belief.</w:t>
      </w:r>
    </w:p>
    <w:p w14:paraId="438B9FB7" w14:textId="77777777" w:rsidR="00BB4432" w:rsidRPr="00BB4432" w:rsidRDefault="00BB4432" w:rsidP="00BB4432">
      <w:pPr>
        <w:spacing w:after="0"/>
        <w:rPr>
          <w:rFonts w:eastAsia="Times New Roman" w:cstheme="minorHAnsi"/>
          <w:lang w:eastAsia="en-GB"/>
        </w:rPr>
      </w:pPr>
    </w:p>
    <w:p w14:paraId="5E7B1801" w14:textId="10033FED" w:rsidR="00BB4432" w:rsidRDefault="00045E00" w:rsidP="00BB4432">
      <w:pPr>
        <w:spacing w:after="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BB4432">
        <w:rPr>
          <w:rFonts w:eastAsia="Times New Roman" w:cstheme="minorHAnsi"/>
          <w:lang w:eastAsia="en-GB"/>
        </w:rPr>
        <w:t xml:space="preserve">.9 </w:t>
      </w:r>
      <w:r w:rsidR="000E4A3B" w:rsidRPr="00BB4432">
        <w:rPr>
          <w:rFonts w:eastAsia="Times New Roman" w:cstheme="minorHAnsi"/>
          <w:lang w:eastAsia="en-GB"/>
        </w:rPr>
        <w:t xml:space="preserve">If there are family members, colleagues, </w:t>
      </w:r>
      <w:proofErr w:type="gramStart"/>
      <w:r w:rsidR="000E4A3B" w:rsidRPr="00BB4432">
        <w:rPr>
          <w:rFonts w:eastAsia="Times New Roman" w:cstheme="minorHAnsi"/>
          <w:lang w:eastAsia="en-GB"/>
        </w:rPr>
        <w:t>friends</w:t>
      </w:r>
      <w:proofErr w:type="gramEnd"/>
      <w:r w:rsidR="000E4A3B" w:rsidRPr="00BB4432">
        <w:rPr>
          <w:rFonts w:eastAsia="Times New Roman" w:cstheme="minorHAnsi"/>
          <w:lang w:eastAsia="en-GB"/>
        </w:rPr>
        <w:t xml:space="preserve"> or other individuals that a DHR Author wishes to speak to as part of the review and who are witnesses in a criminal case, the Chair or legal advisor to the panel may be asked by the SIO not to contact them for interviews until after the criminal case conclusion. The SIO will consult with CPS where the DHR panel proposes to speak to witnesses in an on</w:t>
      </w:r>
      <w:r w:rsidR="00CB22D6">
        <w:rPr>
          <w:rFonts w:eastAsia="Times New Roman" w:cstheme="minorHAnsi"/>
          <w:lang w:eastAsia="en-GB"/>
        </w:rPr>
        <w:t>-</w:t>
      </w:r>
      <w:r w:rsidR="000E4A3B" w:rsidRPr="00BB4432">
        <w:rPr>
          <w:rFonts w:eastAsia="Times New Roman" w:cstheme="minorHAnsi"/>
          <w:lang w:eastAsia="en-GB"/>
        </w:rPr>
        <w:t xml:space="preserve">going criminal case. </w:t>
      </w:r>
    </w:p>
    <w:p w14:paraId="6C058D4F" w14:textId="77777777" w:rsidR="00BE0CF0" w:rsidRDefault="00BE0CF0" w:rsidP="00BB4432">
      <w:pPr>
        <w:spacing w:after="0"/>
        <w:rPr>
          <w:rFonts w:eastAsia="Times New Roman" w:cstheme="minorHAnsi"/>
          <w:lang w:eastAsia="en-GB"/>
        </w:rPr>
      </w:pPr>
    </w:p>
    <w:p w14:paraId="3C126942" w14:textId="23A6744D" w:rsidR="00BE0CF0" w:rsidRDefault="00BE0CF0" w:rsidP="00BB4432">
      <w:pPr>
        <w:spacing w:after="0"/>
        <w:rPr>
          <w:rFonts w:eastAsia="Times New Roman" w:cstheme="minorHAnsi"/>
          <w:lang w:eastAsia="en-GB"/>
        </w:rPr>
      </w:pPr>
      <w:r>
        <w:rPr>
          <w:rFonts w:eastAsia="Times New Roman" w:cstheme="minorHAnsi"/>
          <w:lang w:eastAsia="en-GB"/>
        </w:rPr>
        <w:t xml:space="preserve">12.10 </w:t>
      </w:r>
      <w:r w:rsidRPr="00BE0CF0">
        <w:rPr>
          <w:rFonts w:eastAsia="Times New Roman" w:cstheme="minorHAnsi"/>
          <w:lang w:eastAsia="en-GB"/>
        </w:rPr>
        <w:t xml:space="preserve">If there are family members, colleagues, </w:t>
      </w:r>
      <w:proofErr w:type="gramStart"/>
      <w:r w:rsidRPr="00BE0CF0">
        <w:rPr>
          <w:rFonts w:eastAsia="Times New Roman" w:cstheme="minorHAnsi"/>
          <w:lang w:eastAsia="en-GB"/>
        </w:rPr>
        <w:t>friends</w:t>
      </w:r>
      <w:proofErr w:type="gramEnd"/>
      <w:r w:rsidRPr="00BE0CF0">
        <w:rPr>
          <w:rFonts w:eastAsia="Times New Roman" w:cstheme="minorHAnsi"/>
          <w:lang w:eastAsia="en-GB"/>
        </w:rPr>
        <w:t xml:space="preserve"> or other individuals that a review chair wishes to speak to as part of the review and who are witnesses in the criminal case, the chair may be asked by the SIO not to contact them for interviews until after the conclusion of the criminal case. The SIO should consult with the CPS where the DHR panel proposes to speak to witnesses in an ongoing </w:t>
      </w:r>
      <w:r w:rsidRPr="00BE0CF0">
        <w:rPr>
          <w:rFonts w:eastAsia="Times New Roman" w:cstheme="minorHAnsi"/>
          <w:lang w:eastAsia="en-GB"/>
        </w:rPr>
        <w:lastRenderedPageBreak/>
        <w:t>criminal case. Any representations to the DHR panel to delay contact with the witnesses will be informed by such liaison with the CPS.</w:t>
      </w:r>
    </w:p>
    <w:p w14:paraId="7DE9D56C" w14:textId="53787D22" w:rsidR="00BE0CF0" w:rsidRDefault="00BE0CF0" w:rsidP="00BB4432">
      <w:pPr>
        <w:spacing w:after="0"/>
        <w:rPr>
          <w:rFonts w:eastAsia="Times New Roman" w:cstheme="minorHAnsi"/>
          <w:lang w:eastAsia="en-GB"/>
        </w:rPr>
      </w:pPr>
      <w:r>
        <w:rPr>
          <w:rFonts w:eastAsia="Times New Roman" w:cstheme="minorHAnsi"/>
          <w:lang w:eastAsia="en-GB"/>
        </w:rPr>
        <w:t xml:space="preserve">12.11 </w:t>
      </w:r>
      <w:r w:rsidR="00B73987" w:rsidRPr="00B73987">
        <w:rPr>
          <w:rFonts w:eastAsia="Times New Roman" w:cstheme="minorHAnsi"/>
          <w:lang w:eastAsia="en-GB"/>
        </w:rPr>
        <w:t xml:space="preserve">Following the conclusion of the criminal proceedings, the DHR should be concluded without delay. Further information about disclosure can be found at: </w:t>
      </w:r>
      <w:hyperlink r:id="rId23" w:history="1">
        <w:r w:rsidR="00E95D6F" w:rsidRPr="002C745D">
          <w:rPr>
            <w:rStyle w:val="Hyperlink"/>
            <w:rFonts w:eastAsia="Times New Roman" w:cstheme="minorHAnsi"/>
            <w:lang w:eastAsia="en-GB"/>
          </w:rPr>
          <w:t>www.cps.gov.uk/legal/d_to_g/disclosure_manual</w:t>
        </w:r>
      </w:hyperlink>
      <w:r w:rsidR="00B73987" w:rsidRPr="00B73987">
        <w:rPr>
          <w:rFonts w:eastAsia="Times New Roman" w:cstheme="minorHAnsi"/>
          <w:lang w:eastAsia="en-GB"/>
        </w:rPr>
        <w:t>.</w:t>
      </w:r>
      <w:r w:rsidR="00B73987">
        <w:rPr>
          <w:rFonts w:eastAsia="Times New Roman" w:cstheme="minorHAnsi"/>
          <w:lang w:eastAsia="en-GB"/>
        </w:rPr>
        <w:t xml:space="preserve"> </w:t>
      </w:r>
    </w:p>
    <w:p w14:paraId="3354C71D" w14:textId="77777777" w:rsidR="00BB4432" w:rsidRDefault="00BB4432" w:rsidP="00BB4432">
      <w:pPr>
        <w:spacing w:after="0"/>
        <w:rPr>
          <w:rFonts w:eastAsia="Times New Roman" w:cstheme="minorHAnsi"/>
          <w:lang w:eastAsia="en-GB"/>
        </w:rPr>
      </w:pPr>
    </w:p>
    <w:p w14:paraId="0C8CA952" w14:textId="75E85A1A" w:rsidR="0056282F" w:rsidRDefault="0056282F" w:rsidP="00C21499">
      <w:pPr>
        <w:spacing w:after="0"/>
        <w:rPr>
          <w:rFonts w:eastAsia="Times New Roman" w:cstheme="minorHAnsi"/>
          <w:lang w:eastAsia="en-GB"/>
        </w:rPr>
      </w:pPr>
      <w:r w:rsidRPr="00BB4432">
        <w:rPr>
          <w:rFonts w:eastAsia="Times New Roman" w:cstheme="minorHAnsi"/>
          <w:b/>
          <w:lang w:eastAsia="en-GB"/>
        </w:rPr>
        <w:t>Circumstances where the perpetrator is deceased</w:t>
      </w:r>
      <w:r w:rsidRPr="00BB4432">
        <w:rPr>
          <w:rFonts w:eastAsia="Times New Roman" w:cstheme="minorHAnsi"/>
          <w:lang w:eastAsia="en-GB"/>
        </w:rPr>
        <w:t xml:space="preserve"> </w:t>
      </w:r>
      <w:r>
        <w:rPr>
          <w:rFonts w:eastAsia="Times New Roman" w:cstheme="minorHAnsi"/>
          <w:lang w:eastAsia="en-GB"/>
        </w:rPr>
        <w:t>–</w:t>
      </w:r>
      <w:r w:rsidRPr="00BB4432">
        <w:rPr>
          <w:rFonts w:eastAsia="Times New Roman" w:cstheme="minorHAnsi"/>
          <w:lang w:eastAsia="en-GB"/>
        </w:rPr>
        <w:t xml:space="preserve"> </w:t>
      </w:r>
    </w:p>
    <w:p w14:paraId="306D1EB3" w14:textId="3CEDDEE4" w:rsidR="00C21499" w:rsidRPr="00C21499" w:rsidRDefault="00067870" w:rsidP="00C21499">
      <w:pPr>
        <w:spacing w:after="0"/>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2</w:t>
      </w:r>
      <w:r w:rsidR="00BB4432">
        <w:rPr>
          <w:rFonts w:eastAsia="Times New Roman" w:cstheme="minorHAnsi"/>
          <w:lang w:eastAsia="en-GB"/>
        </w:rPr>
        <w:t>.1</w:t>
      </w:r>
      <w:r w:rsidR="00DF21A0">
        <w:rPr>
          <w:rFonts w:eastAsia="Times New Roman" w:cstheme="minorHAnsi"/>
          <w:lang w:eastAsia="en-GB"/>
        </w:rPr>
        <w:t>2</w:t>
      </w:r>
      <w:r w:rsidR="00BB4432">
        <w:rPr>
          <w:rFonts w:eastAsia="Times New Roman" w:cstheme="minorHAnsi"/>
          <w:lang w:eastAsia="en-GB"/>
        </w:rPr>
        <w:t xml:space="preserve"> </w:t>
      </w:r>
      <w:r w:rsidR="00C21499" w:rsidRPr="00C21499">
        <w:rPr>
          <w:rFonts w:eastAsia="Times New Roman" w:cstheme="minorHAnsi"/>
          <w:lang w:eastAsia="en-GB"/>
        </w:rPr>
        <w:t>Where evidence indicates that the perpetrator is deceased and either:</w:t>
      </w:r>
    </w:p>
    <w:p w14:paraId="653F8680" w14:textId="77777777" w:rsidR="00C21499" w:rsidRPr="00C21499" w:rsidRDefault="00C21499" w:rsidP="00DA611E">
      <w:pPr>
        <w:spacing w:after="0"/>
        <w:ind w:left="284"/>
        <w:rPr>
          <w:rFonts w:eastAsia="Times New Roman" w:cstheme="minorHAnsi"/>
          <w:lang w:eastAsia="en-GB"/>
        </w:rPr>
      </w:pPr>
      <w:r w:rsidRPr="00C21499">
        <w:rPr>
          <w:rFonts w:eastAsia="Times New Roman" w:cstheme="minorHAnsi"/>
          <w:lang w:eastAsia="en-GB"/>
        </w:rPr>
        <w:t xml:space="preserve">a) the cause of death is </w:t>
      </w:r>
      <w:proofErr w:type="gramStart"/>
      <w:r w:rsidRPr="00C21499">
        <w:rPr>
          <w:rFonts w:eastAsia="Times New Roman" w:cstheme="minorHAnsi"/>
          <w:lang w:eastAsia="en-GB"/>
        </w:rPr>
        <w:t>unknown;</w:t>
      </w:r>
      <w:proofErr w:type="gramEnd"/>
    </w:p>
    <w:p w14:paraId="5117D5A9" w14:textId="77777777" w:rsidR="00C21499" w:rsidRPr="00C21499" w:rsidRDefault="00C21499" w:rsidP="00DA611E">
      <w:pPr>
        <w:spacing w:after="0"/>
        <w:ind w:left="284"/>
        <w:rPr>
          <w:rFonts w:eastAsia="Times New Roman" w:cstheme="minorHAnsi"/>
          <w:lang w:eastAsia="en-GB"/>
        </w:rPr>
      </w:pPr>
      <w:r w:rsidRPr="00C21499">
        <w:rPr>
          <w:rFonts w:eastAsia="Times New Roman" w:cstheme="minorHAnsi"/>
          <w:lang w:eastAsia="en-GB"/>
        </w:rPr>
        <w:t xml:space="preserve">b) the death was violent or </w:t>
      </w:r>
      <w:proofErr w:type="gramStart"/>
      <w:r w:rsidRPr="00C21499">
        <w:rPr>
          <w:rFonts w:eastAsia="Times New Roman" w:cstheme="minorHAnsi"/>
          <w:lang w:eastAsia="en-GB"/>
        </w:rPr>
        <w:t>unnatural;</w:t>
      </w:r>
      <w:proofErr w:type="gramEnd"/>
    </w:p>
    <w:p w14:paraId="1A6C8339" w14:textId="77777777" w:rsidR="00C21499" w:rsidRPr="00C21499" w:rsidRDefault="00C21499" w:rsidP="00DA611E">
      <w:pPr>
        <w:spacing w:after="0"/>
        <w:ind w:left="284"/>
        <w:rPr>
          <w:rFonts w:eastAsia="Times New Roman" w:cstheme="minorHAnsi"/>
          <w:lang w:eastAsia="en-GB"/>
        </w:rPr>
      </w:pPr>
      <w:r w:rsidRPr="00C21499">
        <w:rPr>
          <w:rFonts w:eastAsia="Times New Roman" w:cstheme="minorHAnsi"/>
          <w:lang w:eastAsia="en-GB"/>
        </w:rPr>
        <w:t xml:space="preserve">c) the death was sudden and </w:t>
      </w:r>
      <w:proofErr w:type="gramStart"/>
      <w:r w:rsidRPr="00C21499">
        <w:rPr>
          <w:rFonts w:eastAsia="Times New Roman" w:cstheme="minorHAnsi"/>
          <w:lang w:eastAsia="en-GB"/>
        </w:rPr>
        <w:t>unexplained;</w:t>
      </w:r>
      <w:proofErr w:type="gramEnd"/>
    </w:p>
    <w:p w14:paraId="4FF2D87B" w14:textId="77777777" w:rsidR="00C21499" w:rsidRPr="00C21499" w:rsidRDefault="00C21499" w:rsidP="00DA611E">
      <w:pPr>
        <w:spacing w:after="0"/>
        <w:ind w:left="284"/>
        <w:rPr>
          <w:rFonts w:eastAsia="Times New Roman" w:cstheme="minorHAnsi"/>
          <w:lang w:eastAsia="en-GB"/>
        </w:rPr>
      </w:pPr>
      <w:r w:rsidRPr="00C21499">
        <w:rPr>
          <w:rFonts w:eastAsia="Times New Roman" w:cstheme="minorHAnsi"/>
          <w:lang w:eastAsia="en-GB"/>
        </w:rPr>
        <w:t xml:space="preserve">d) the person who died was not visited by a medical practitioner during their final </w:t>
      </w:r>
      <w:proofErr w:type="gramStart"/>
      <w:r w:rsidRPr="00C21499">
        <w:rPr>
          <w:rFonts w:eastAsia="Times New Roman" w:cstheme="minorHAnsi"/>
          <w:lang w:eastAsia="en-GB"/>
        </w:rPr>
        <w:t>illness;</w:t>
      </w:r>
      <w:proofErr w:type="gramEnd"/>
    </w:p>
    <w:p w14:paraId="3267B80F" w14:textId="77777777" w:rsidR="00C21499" w:rsidRPr="00C21499" w:rsidRDefault="00C21499" w:rsidP="00DA611E">
      <w:pPr>
        <w:spacing w:after="0"/>
        <w:ind w:left="284"/>
        <w:rPr>
          <w:rFonts w:eastAsia="Times New Roman" w:cstheme="minorHAnsi"/>
          <w:lang w:eastAsia="en-GB"/>
        </w:rPr>
      </w:pPr>
      <w:r w:rsidRPr="00C21499">
        <w:rPr>
          <w:rFonts w:eastAsia="Times New Roman" w:cstheme="minorHAnsi"/>
          <w:lang w:eastAsia="en-GB"/>
        </w:rPr>
        <w:t xml:space="preserve">e) the medical certificate is not </w:t>
      </w:r>
      <w:proofErr w:type="gramStart"/>
      <w:r w:rsidRPr="00C21499">
        <w:rPr>
          <w:rFonts w:eastAsia="Times New Roman" w:cstheme="minorHAnsi"/>
          <w:lang w:eastAsia="en-GB"/>
        </w:rPr>
        <w:t>available;</w:t>
      </w:r>
      <w:proofErr w:type="gramEnd"/>
    </w:p>
    <w:p w14:paraId="500CD4F7" w14:textId="77777777" w:rsidR="00C21499" w:rsidRPr="00C21499" w:rsidRDefault="00C21499" w:rsidP="00DA611E">
      <w:pPr>
        <w:spacing w:after="0"/>
        <w:ind w:left="284"/>
        <w:rPr>
          <w:rFonts w:eastAsia="Times New Roman" w:cstheme="minorHAnsi"/>
          <w:lang w:eastAsia="en-GB"/>
        </w:rPr>
      </w:pPr>
      <w:r w:rsidRPr="00C21499">
        <w:rPr>
          <w:rFonts w:eastAsia="Times New Roman" w:cstheme="minorHAnsi"/>
          <w:lang w:eastAsia="en-GB"/>
        </w:rPr>
        <w:t xml:space="preserve">f) the person who died was not seen by the doctor who signed the medical certificate within 14 days before death or after they </w:t>
      </w:r>
      <w:proofErr w:type="gramStart"/>
      <w:r w:rsidRPr="00C21499">
        <w:rPr>
          <w:rFonts w:eastAsia="Times New Roman" w:cstheme="minorHAnsi"/>
          <w:lang w:eastAsia="en-GB"/>
        </w:rPr>
        <w:t>died;</w:t>
      </w:r>
      <w:proofErr w:type="gramEnd"/>
    </w:p>
    <w:p w14:paraId="1752E671" w14:textId="77777777" w:rsidR="00C21499" w:rsidRPr="00C21499" w:rsidRDefault="00C21499" w:rsidP="00DA611E">
      <w:pPr>
        <w:spacing w:after="0"/>
        <w:ind w:left="284"/>
        <w:rPr>
          <w:rFonts w:eastAsia="Times New Roman" w:cstheme="minorHAnsi"/>
          <w:lang w:eastAsia="en-GB"/>
        </w:rPr>
      </w:pPr>
      <w:r w:rsidRPr="00C21499">
        <w:rPr>
          <w:rFonts w:eastAsia="Times New Roman" w:cstheme="minorHAnsi"/>
          <w:lang w:eastAsia="en-GB"/>
        </w:rPr>
        <w:t xml:space="preserve">g) the death occurred during an operation or before the person came out of </w:t>
      </w:r>
      <w:proofErr w:type="gramStart"/>
      <w:r w:rsidRPr="00C21499">
        <w:rPr>
          <w:rFonts w:eastAsia="Times New Roman" w:cstheme="minorHAnsi"/>
          <w:lang w:eastAsia="en-GB"/>
        </w:rPr>
        <w:t>anaesthetic;</w:t>
      </w:r>
      <w:proofErr w:type="gramEnd"/>
    </w:p>
    <w:p w14:paraId="625F474E" w14:textId="77777777" w:rsidR="00C21499" w:rsidRPr="00C21499" w:rsidRDefault="00C21499" w:rsidP="00DA611E">
      <w:pPr>
        <w:spacing w:after="0"/>
        <w:ind w:left="284"/>
        <w:rPr>
          <w:rFonts w:eastAsia="Times New Roman" w:cstheme="minorHAnsi"/>
          <w:lang w:eastAsia="en-GB"/>
        </w:rPr>
      </w:pPr>
      <w:r w:rsidRPr="00C21499">
        <w:rPr>
          <w:rFonts w:eastAsia="Times New Roman" w:cstheme="minorHAnsi"/>
          <w:lang w:eastAsia="en-GB"/>
        </w:rPr>
        <w:t xml:space="preserve">h) the medical certificate suggests the death may have been caused by an industrial disease or industrial </w:t>
      </w:r>
      <w:proofErr w:type="gramStart"/>
      <w:r w:rsidRPr="00C21499">
        <w:rPr>
          <w:rFonts w:eastAsia="Times New Roman" w:cstheme="minorHAnsi"/>
          <w:lang w:eastAsia="en-GB"/>
        </w:rPr>
        <w:t>poisoning;</w:t>
      </w:r>
      <w:proofErr w:type="gramEnd"/>
    </w:p>
    <w:p w14:paraId="56677AD3" w14:textId="7C3F5565" w:rsidR="000E4A3B" w:rsidRDefault="00C21499" w:rsidP="00C21499">
      <w:pPr>
        <w:spacing w:after="0"/>
        <w:rPr>
          <w:rFonts w:eastAsia="Times New Roman" w:cstheme="minorHAnsi"/>
          <w:lang w:eastAsia="en-GB"/>
        </w:rPr>
      </w:pPr>
      <w:r w:rsidRPr="00C21499">
        <w:rPr>
          <w:rFonts w:eastAsia="Times New Roman" w:cstheme="minorHAnsi"/>
          <w:lang w:eastAsia="en-GB"/>
        </w:rPr>
        <w:t xml:space="preserve">the case will be referred to the </w:t>
      </w:r>
      <w:proofErr w:type="gramStart"/>
      <w:r w:rsidRPr="00C21499">
        <w:rPr>
          <w:rFonts w:eastAsia="Times New Roman" w:cstheme="minorHAnsi"/>
          <w:lang w:eastAsia="en-GB"/>
        </w:rPr>
        <w:t>Coroner</w:t>
      </w:r>
      <w:proofErr w:type="gramEnd"/>
      <w:r w:rsidRPr="00C21499">
        <w:rPr>
          <w:rFonts w:eastAsia="Times New Roman" w:cstheme="minorHAnsi"/>
          <w:lang w:eastAsia="en-GB"/>
        </w:rPr>
        <w:t xml:space="preserve"> and a file will be prepared. In these circumstances, it is appropriate for a DHR to be conducted without delay and the overview report and supporting documents once they have been reviewed by the Quality Assurance Panel should be submitted to the </w:t>
      </w:r>
      <w:proofErr w:type="gramStart"/>
      <w:r w:rsidRPr="00C21499">
        <w:rPr>
          <w:rFonts w:eastAsia="Times New Roman" w:cstheme="minorHAnsi"/>
          <w:lang w:eastAsia="en-GB"/>
        </w:rPr>
        <w:t>Coroner</w:t>
      </w:r>
      <w:proofErr w:type="gramEnd"/>
      <w:r w:rsidRPr="00C21499">
        <w:rPr>
          <w:rFonts w:eastAsia="Times New Roman" w:cstheme="minorHAnsi"/>
          <w:lang w:eastAsia="en-GB"/>
        </w:rPr>
        <w:t xml:space="preserve"> to help inform the Inquest.</w:t>
      </w:r>
    </w:p>
    <w:p w14:paraId="5ADFE1F1" w14:textId="77777777" w:rsidR="00A16EF7" w:rsidRPr="00A16EF7" w:rsidRDefault="00A16EF7" w:rsidP="00BB4432">
      <w:pPr>
        <w:spacing w:after="0"/>
        <w:rPr>
          <w:rFonts w:eastAsia="Times New Roman" w:cstheme="minorHAnsi"/>
          <w:lang w:eastAsia="en-GB"/>
        </w:rPr>
      </w:pPr>
    </w:p>
    <w:p w14:paraId="59EBCCF7" w14:textId="2A74056E" w:rsidR="00A16EF7" w:rsidRPr="001C7B04" w:rsidRDefault="00067870" w:rsidP="00A16EF7">
      <w:pPr>
        <w:spacing w:after="0" w:line="240" w:lineRule="auto"/>
        <w:rPr>
          <w:rFonts w:eastAsia="Times New Roman" w:cstheme="minorHAnsi"/>
          <w:b/>
          <w:u w:val="single"/>
          <w:lang w:eastAsia="en-GB"/>
        </w:rPr>
      </w:pPr>
      <w:r>
        <w:rPr>
          <w:rFonts w:eastAsia="Times New Roman" w:cstheme="minorHAnsi"/>
          <w:b/>
          <w:u w:val="single"/>
          <w:lang w:eastAsia="en-GB"/>
        </w:rPr>
        <w:t>1</w:t>
      </w:r>
      <w:r w:rsidR="009E5FB4">
        <w:rPr>
          <w:rFonts w:eastAsia="Times New Roman" w:cstheme="minorHAnsi"/>
          <w:b/>
          <w:u w:val="single"/>
          <w:lang w:eastAsia="en-GB"/>
        </w:rPr>
        <w:t>3</w:t>
      </w:r>
      <w:r w:rsidR="00A16EF7" w:rsidRPr="001C7B04">
        <w:rPr>
          <w:rFonts w:eastAsia="Times New Roman" w:cstheme="minorHAnsi"/>
          <w:b/>
          <w:u w:val="single"/>
          <w:lang w:eastAsia="en-GB"/>
        </w:rPr>
        <w:t xml:space="preserve"> </w:t>
      </w:r>
      <w:bookmarkStart w:id="11" w:name="LearningLessonsAndBestPractice"/>
      <w:r w:rsidR="00A16EF7" w:rsidRPr="001C7B04">
        <w:rPr>
          <w:rFonts w:eastAsia="Times New Roman" w:cstheme="minorHAnsi"/>
          <w:b/>
          <w:u w:val="single"/>
          <w:lang w:eastAsia="en-GB"/>
        </w:rPr>
        <w:t>LEARNIN</w:t>
      </w:r>
      <w:r w:rsidR="00CB22D6" w:rsidRPr="001C7B04">
        <w:rPr>
          <w:rFonts w:eastAsia="Times New Roman" w:cstheme="minorHAnsi"/>
          <w:b/>
          <w:u w:val="single"/>
          <w:lang w:eastAsia="en-GB"/>
        </w:rPr>
        <w:t>G LESSONS AND BEST PRACTICE</w:t>
      </w:r>
      <w:bookmarkEnd w:id="11"/>
    </w:p>
    <w:p w14:paraId="46230795" w14:textId="04BF14BB" w:rsidR="00A16EF7" w:rsidRPr="00A16EF7" w:rsidRDefault="00067870" w:rsidP="00A16EF7">
      <w:pPr>
        <w:spacing w:before="100" w:beforeAutospacing="1" w:after="100" w:afterAutospacing="1" w:line="240" w:lineRule="auto"/>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3</w:t>
      </w:r>
      <w:r w:rsidR="00A16EF7" w:rsidRPr="00A16EF7">
        <w:rPr>
          <w:rFonts w:eastAsia="Times New Roman" w:cstheme="minorHAnsi"/>
          <w:lang w:eastAsia="en-GB"/>
        </w:rPr>
        <w:t>.1 It is important to draw out key findings of DHRs and their implications for policy and practice.</w:t>
      </w:r>
    </w:p>
    <w:p w14:paraId="48E6AF87" w14:textId="3A98E8CB" w:rsidR="00A16EF7" w:rsidRPr="00A16EF7" w:rsidRDefault="00067870" w:rsidP="00A16EF7">
      <w:pPr>
        <w:spacing w:before="100" w:beforeAutospacing="1" w:after="100" w:afterAutospacing="1" w:line="240" w:lineRule="auto"/>
        <w:rPr>
          <w:rFonts w:eastAsia="Times New Roman" w:cstheme="minorHAnsi"/>
          <w:lang w:eastAsia="en-GB"/>
        </w:rPr>
      </w:pPr>
      <w:r>
        <w:rPr>
          <w:rFonts w:eastAsia="Times New Roman" w:cstheme="minorHAnsi"/>
          <w:bCs/>
          <w:lang w:eastAsia="en-GB"/>
        </w:rPr>
        <w:t>1</w:t>
      </w:r>
      <w:r w:rsidR="009E5FB4">
        <w:rPr>
          <w:rFonts w:eastAsia="Times New Roman" w:cstheme="minorHAnsi"/>
          <w:bCs/>
          <w:lang w:eastAsia="en-GB"/>
        </w:rPr>
        <w:t>3</w:t>
      </w:r>
      <w:r w:rsidR="00A16EF7">
        <w:rPr>
          <w:rFonts w:eastAsia="Times New Roman" w:cstheme="minorHAnsi"/>
          <w:bCs/>
          <w:lang w:eastAsia="en-GB"/>
        </w:rPr>
        <w:t>.2</w:t>
      </w:r>
      <w:r w:rsidR="00A16EF7" w:rsidRPr="00A16EF7">
        <w:rPr>
          <w:rFonts w:eastAsia="Times New Roman" w:cstheme="minorHAnsi"/>
          <w:bCs/>
          <w:lang w:eastAsia="en-GB"/>
        </w:rPr>
        <w:t xml:space="preserve"> The Domestic Abuse </w:t>
      </w:r>
      <w:r w:rsidR="00297C7D">
        <w:rPr>
          <w:rFonts w:eastAsia="Times New Roman" w:cstheme="minorHAnsi"/>
          <w:bCs/>
          <w:lang w:eastAsia="en-GB"/>
        </w:rPr>
        <w:t>Operational</w:t>
      </w:r>
      <w:r w:rsidR="00A16EF7" w:rsidRPr="00A16EF7">
        <w:rPr>
          <w:rFonts w:eastAsia="Times New Roman" w:cstheme="minorHAnsi"/>
          <w:bCs/>
          <w:lang w:eastAsia="en-GB"/>
        </w:rPr>
        <w:t xml:space="preserve"> Group</w:t>
      </w:r>
      <w:r w:rsidR="00CB22D6">
        <w:rPr>
          <w:rFonts w:eastAsia="Times New Roman" w:cstheme="minorHAnsi"/>
          <w:bCs/>
          <w:lang w:eastAsia="en-GB"/>
        </w:rPr>
        <w:t xml:space="preserve"> </w:t>
      </w:r>
      <w:r w:rsidR="00A16EF7" w:rsidRPr="00A16EF7">
        <w:rPr>
          <w:rFonts w:eastAsia="Times New Roman" w:cstheme="minorHAnsi"/>
          <w:bCs/>
          <w:lang w:eastAsia="en-GB"/>
        </w:rPr>
        <w:t xml:space="preserve">and </w:t>
      </w:r>
      <w:r w:rsidR="00297C7D">
        <w:rPr>
          <w:rFonts w:eastAsia="Times New Roman" w:cstheme="minorHAnsi"/>
          <w:bCs/>
          <w:lang w:eastAsia="en-GB"/>
        </w:rPr>
        <w:t>LDAP</w:t>
      </w:r>
      <w:r w:rsidR="00A16EF7" w:rsidRPr="00A16EF7">
        <w:rPr>
          <w:rFonts w:eastAsia="Times New Roman" w:cstheme="minorHAnsi"/>
          <w:bCs/>
          <w:lang w:eastAsia="en-GB"/>
        </w:rPr>
        <w:t xml:space="preserve"> will adopt the following process and principles:</w:t>
      </w:r>
    </w:p>
    <w:p w14:paraId="54E8A40F" w14:textId="5BF317AE" w:rsidR="00A16EF7" w:rsidRPr="00A16EF7" w:rsidRDefault="00A16EF7" w:rsidP="009F21E6">
      <w:pPr>
        <w:numPr>
          <w:ilvl w:val="0"/>
          <w:numId w:val="23"/>
        </w:numPr>
        <w:spacing w:before="100" w:beforeAutospacing="1" w:after="100" w:afterAutospacing="1" w:line="240" w:lineRule="auto"/>
        <w:rPr>
          <w:rFonts w:eastAsia="Times New Roman" w:cstheme="minorHAnsi"/>
          <w:lang w:eastAsia="en-GB"/>
        </w:rPr>
      </w:pPr>
      <w:r w:rsidRPr="00A16EF7">
        <w:rPr>
          <w:rFonts w:eastAsia="Times New Roman" w:cstheme="minorHAnsi"/>
          <w:lang w:eastAsia="en-GB"/>
        </w:rPr>
        <w:t xml:space="preserve">As far as possible, the review should be conducted in such a way that the process is seen as a learning exercise and not </w:t>
      </w:r>
      <w:r w:rsidR="00CB22D6">
        <w:rPr>
          <w:rFonts w:eastAsia="Times New Roman" w:cstheme="minorHAnsi"/>
          <w:lang w:eastAsia="en-GB"/>
        </w:rPr>
        <w:t>as a way of apportioning blame.</w:t>
      </w:r>
    </w:p>
    <w:p w14:paraId="7BEAC15E" w14:textId="77777777" w:rsidR="00A16EF7" w:rsidRPr="00A16EF7" w:rsidRDefault="00A16EF7" w:rsidP="009F21E6">
      <w:pPr>
        <w:numPr>
          <w:ilvl w:val="0"/>
          <w:numId w:val="23"/>
        </w:numPr>
        <w:spacing w:before="100" w:beforeAutospacing="1" w:after="100" w:afterAutospacing="1" w:line="240" w:lineRule="auto"/>
        <w:rPr>
          <w:rFonts w:eastAsia="Times New Roman" w:cstheme="minorHAnsi"/>
          <w:lang w:eastAsia="en-GB"/>
        </w:rPr>
      </w:pPr>
      <w:r w:rsidRPr="00A16EF7">
        <w:rPr>
          <w:rFonts w:eastAsia="Times New Roman" w:cstheme="minorHAnsi"/>
          <w:lang w:eastAsia="en-GB"/>
        </w:rPr>
        <w:t xml:space="preserve">Consider what type and level of information needs to be disseminated, how and to whom, in the light of the review. Be prepared to communicate both examples of good practice and </w:t>
      </w:r>
      <w:r w:rsidR="00CB22D6">
        <w:rPr>
          <w:rFonts w:eastAsia="Times New Roman" w:cstheme="minorHAnsi"/>
          <w:lang w:eastAsia="en-GB"/>
        </w:rPr>
        <w:t>areas where change is required.</w:t>
      </w:r>
    </w:p>
    <w:p w14:paraId="78091EE4" w14:textId="65615730" w:rsidR="00A16EF7" w:rsidRPr="00A16EF7" w:rsidRDefault="00A16EF7" w:rsidP="009F21E6">
      <w:pPr>
        <w:numPr>
          <w:ilvl w:val="0"/>
          <w:numId w:val="23"/>
        </w:numPr>
        <w:spacing w:before="100" w:beforeAutospacing="1" w:after="100" w:afterAutospacing="1" w:line="240" w:lineRule="auto"/>
        <w:rPr>
          <w:rFonts w:eastAsia="Times New Roman" w:cstheme="minorHAnsi"/>
          <w:lang w:eastAsia="en-GB"/>
        </w:rPr>
      </w:pPr>
      <w:r w:rsidRPr="00A16EF7">
        <w:rPr>
          <w:rFonts w:eastAsia="Times New Roman" w:cstheme="minorHAnsi"/>
          <w:lang w:eastAsia="en-GB"/>
        </w:rPr>
        <w:t xml:space="preserve">Subsequent learning should be spread to the local MARAC, the </w:t>
      </w:r>
      <w:r w:rsidR="00886107">
        <w:rPr>
          <w:rFonts w:eastAsia="Times New Roman" w:cstheme="minorHAnsi"/>
          <w:lang w:eastAsia="en-GB"/>
        </w:rPr>
        <w:t>LDAP</w:t>
      </w:r>
      <w:r w:rsidRPr="00A16EF7">
        <w:rPr>
          <w:rFonts w:eastAsia="Times New Roman" w:cstheme="minorHAnsi"/>
          <w:lang w:eastAsia="en-GB"/>
        </w:rPr>
        <w:t xml:space="preserve"> and the Lincolnshire Safeguarding Children </w:t>
      </w:r>
      <w:r w:rsidR="00C4109E">
        <w:rPr>
          <w:rFonts w:eastAsia="Times New Roman" w:cstheme="minorHAnsi"/>
          <w:lang w:eastAsia="en-GB"/>
        </w:rPr>
        <w:t>Partnership</w:t>
      </w:r>
      <w:r w:rsidRPr="00A16EF7">
        <w:rPr>
          <w:rFonts w:eastAsia="Times New Roman" w:cstheme="minorHAnsi"/>
          <w:lang w:eastAsia="en-GB"/>
        </w:rPr>
        <w:t xml:space="preserve">, Lincolnshire Safeguarding Adults </w:t>
      </w:r>
      <w:proofErr w:type="gramStart"/>
      <w:r w:rsidRPr="00A16EF7">
        <w:rPr>
          <w:rFonts w:eastAsia="Times New Roman" w:cstheme="minorHAnsi"/>
          <w:lang w:eastAsia="en-GB"/>
        </w:rPr>
        <w:t>Board</w:t>
      </w:r>
      <w:proofErr w:type="gramEnd"/>
      <w:r w:rsidR="00CB22D6">
        <w:rPr>
          <w:rFonts w:eastAsia="Times New Roman" w:cstheme="minorHAnsi"/>
          <w:lang w:eastAsia="en-GB"/>
        </w:rPr>
        <w:t xml:space="preserve"> and commissioners of services.</w:t>
      </w:r>
    </w:p>
    <w:p w14:paraId="10F318D4" w14:textId="77777777" w:rsidR="00A16EF7" w:rsidRPr="00A16EF7" w:rsidRDefault="00A16EF7" w:rsidP="009F21E6">
      <w:pPr>
        <w:numPr>
          <w:ilvl w:val="0"/>
          <w:numId w:val="23"/>
        </w:numPr>
        <w:spacing w:before="100" w:beforeAutospacing="1" w:after="100" w:afterAutospacing="1" w:line="240" w:lineRule="auto"/>
        <w:rPr>
          <w:rFonts w:eastAsia="Times New Roman" w:cstheme="minorHAnsi"/>
          <w:lang w:eastAsia="en-GB"/>
        </w:rPr>
      </w:pPr>
      <w:r w:rsidRPr="00A16EF7">
        <w:rPr>
          <w:rFonts w:eastAsia="Times New Roman" w:cstheme="minorHAnsi"/>
          <w:lang w:eastAsia="en-GB"/>
        </w:rPr>
        <w:t>Include the learning into local an</w:t>
      </w:r>
      <w:r w:rsidR="00CB22D6">
        <w:rPr>
          <w:rFonts w:eastAsia="Times New Roman" w:cstheme="minorHAnsi"/>
          <w:lang w:eastAsia="en-GB"/>
        </w:rPr>
        <w:t>d regional training programmes.</w:t>
      </w:r>
    </w:p>
    <w:p w14:paraId="590C2434" w14:textId="6ACE74FA" w:rsidR="00A16EF7" w:rsidRPr="00A16EF7" w:rsidRDefault="00A16EF7" w:rsidP="009F21E6">
      <w:pPr>
        <w:numPr>
          <w:ilvl w:val="0"/>
          <w:numId w:val="23"/>
        </w:numPr>
        <w:spacing w:before="100" w:beforeAutospacing="1" w:after="100" w:afterAutospacing="1" w:line="240" w:lineRule="auto"/>
        <w:rPr>
          <w:rFonts w:eastAsia="Times New Roman" w:cstheme="minorHAnsi"/>
          <w:lang w:eastAsia="en-GB"/>
        </w:rPr>
      </w:pPr>
      <w:r w:rsidRPr="00A16EF7">
        <w:rPr>
          <w:rFonts w:eastAsia="Times New Roman" w:cstheme="minorHAnsi"/>
          <w:lang w:eastAsia="en-GB"/>
        </w:rPr>
        <w:t xml:space="preserve">The </w:t>
      </w:r>
      <w:r>
        <w:rPr>
          <w:rFonts w:eastAsia="Times New Roman" w:cstheme="minorHAnsi"/>
          <w:lang w:eastAsia="en-GB"/>
        </w:rPr>
        <w:t>L</w:t>
      </w:r>
      <w:r w:rsidR="00297C7D">
        <w:rPr>
          <w:rFonts w:eastAsia="Times New Roman" w:cstheme="minorHAnsi"/>
          <w:lang w:eastAsia="en-GB"/>
        </w:rPr>
        <w:t>DA</w:t>
      </w:r>
      <w:r>
        <w:rPr>
          <w:rFonts w:eastAsia="Times New Roman" w:cstheme="minorHAnsi"/>
          <w:lang w:eastAsia="en-GB"/>
        </w:rPr>
        <w:t>P</w:t>
      </w:r>
      <w:r w:rsidRPr="00A16EF7">
        <w:rPr>
          <w:rFonts w:eastAsia="Times New Roman" w:cstheme="minorHAnsi"/>
          <w:lang w:eastAsia="en-GB"/>
        </w:rPr>
        <w:t xml:space="preserve"> will put in place a means of monitoring and auditing the actions against recomme</w:t>
      </w:r>
      <w:r w:rsidR="00CB22D6">
        <w:rPr>
          <w:rFonts w:eastAsia="Times New Roman" w:cstheme="minorHAnsi"/>
          <w:lang w:eastAsia="en-GB"/>
        </w:rPr>
        <w:t>ndations and intended outcomes.</w:t>
      </w:r>
    </w:p>
    <w:p w14:paraId="41D5B8A8" w14:textId="75239DF5" w:rsidR="00A16EF7" w:rsidRDefault="00A16EF7" w:rsidP="009F21E6">
      <w:pPr>
        <w:numPr>
          <w:ilvl w:val="0"/>
          <w:numId w:val="23"/>
        </w:numPr>
        <w:spacing w:before="100" w:beforeAutospacing="1" w:after="100" w:afterAutospacing="1" w:line="240" w:lineRule="auto"/>
        <w:rPr>
          <w:rFonts w:eastAsia="Times New Roman" w:cstheme="minorHAnsi"/>
          <w:lang w:eastAsia="en-GB"/>
        </w:rPr>
      </w:pPr>
      <w:r w:rsidRPr="00A16EF7">
        <w:rPr>
          <w:rFonts w:eastAsia="Times New Roman" w:cstheme="minorHAnsi"/>
          <w:lang w:eastAsia="en-GB"/>
        </w:rPr>
        <w:t>Set up a culture of learning lessons by having a standing agenda item for DHR</w:t>
      </w:r>
      <w:r w:rsidR="00CB22D6">
        <w:rPr>
          <w:rFonts w:eastAsia="Times New Roman" w:cstheme="minorHAnsi"/>
          <w:lang w:eastAsia="en-GB"/>
        </w:rPr>
        <w:t>s on the meetings of the</w:t>
      </w:r>
      <w:r w:rsidR="00886107">
        <w:rPr>
          <w:rFonts w:eastAsia="Times New Roman" w:cstheme="minorHAnsi"/>
          <w:lang w:eastAsia="en-GB"/>
        </w:rPr>
        <w:t xml:space="preserve"> DHR Subgroup,</w:t>
      </w:r>
      <w:r w:rsidR="00CB22D6">
        <w:rPr>
          <w:rFonts w:eastAsia="Times New Roman" w:cstheme="minorHAnsi"/>
          <w:lang w:eastAsia="en-GB"/>
        </w:rPr>
        <w:t xml:space="preserve"> DA </w:t>
      </w:r>
      <w:r w:rsidR="00297C7D">
        <w:rPr>
          <w:rFonts w:eastAsia="Times New Roman" w:cstheme="minorHAnsi"/>
          <w:lang w:eastAsia="en-GB"/>
        </w:rPr>
        <w:t xml:space="preserve">Operational </w:t>
      </w:r>
      <w:r w:rsidR="00CB22D6">
        <w:rPr>
          <w:rFonts w:eastAsia="Times New Roman" w:cstheme="minorHAnsi"/>
          <w:lang w:eastAsia="en-GB"/>
        </w:rPr>
        <w:t>G</w:t>
      </w:r>
      <w:r w:rsidR="00297C7D">
        <w:rPr>
          <w:rFonts w:eastAsia="Times New Roman" w:cstheme="minorHAnsi"/>
          <w:lang w:eastAsia="en-GB"/>
        </w:rPr>
        <w:t>roup</w:t>
      </w:r>
      <w:r w:rsidR="00BE58BC">
        <w:rPr>
          <w:rFonts w:eastAsia="Times New Roman" w:cstheme="minorHAnsi"/>
          <w:lang w:eastAsia="en-GB"/>
        </w:rPr>
        <w:t>,</w:t>
      </w:r>
      <w:r w:rsidR="00886107">
        <w:rPr>
          <w:rFonts w:eastAsia="Times New Roman" w:cstheme="minorHAnsi"/>
          <w:lang w:eastAsia="en-GB"/>
        </w:rPr>
        <w:t xml:space="preserve"> DA Strategic </w:t>
      </w:r>
      <w:proofErr w:type="gramStart"/>
      <w:r w:rsidR="00886107">
        <w:rPr>
          <w:rFonts w:eastAsia="Times New Roman" w:cstheme="minorHAnsi"/>
          <w:lang w:eastAsia="en-GB"/>
        </w:rPr>
        <w:t>Board</w:t>
      </w:r>
      <w:proofErr w:type="gramEnd"/>
      <w:r w:rsidR="00BE58BC">
        <w:rPr>
          <w:rFonts w:eastAsia="Times New Roman" w:cstheme="minorHAnsi"/>
          <w:lang w:eastAsia="en-GB"/>
        </w:rPr>
        <w:t xml:space="preserve"> and</w:t>
      </w:r>
      <w:r w:rsidR="00962E08">
        <w:rPr>
          <w:rFonts w:eastAsia="Times New Roman" w:cstheme="minorHAnsi"/>
          <w:lang w:eastAsia="en-GB"/>
        </w:rPr>
        <w:t xml:space="preserve"> report annually to</w:t>
      </w:r>
      <w:r w:rsidR="00BE58BC">
        <w:rPr>
          <w:rFonts w:eastAsia="Times New Roman" w:cstheme="minorHAnsi"/>
          <w:lang w:eastAsia="en-GB"/>
        </w:rPr>
        <w:t xml:space="preserve"> the</w:t>
      </w:r>
      <w:r w:rsidR="00FC76E3">
        <w:rPr>
          <w:rFonts w:eastAsia="Times New Roman" w:cstheme="minorHAnsi"/>
          <w:lang w:eastAsia="en-GB"/>
        </w:rPr>
        <w:t xml:space="preserve"> </w:t>
      </w:r>
      <w:r w:rsidR="0040403C">
        <w:rPr>
          <w:rFonts w:eastAsia="Times New Roman" w:cstheme="minorHAnsi"/>
          <w:lang w:eastAsia="en-GB"/>
        </w:rPr>
        <w:t>SLP</w:t>
      </w:r>
      <w:r w:rsidRPr="00A16EF7">
        <w:rPr>
          <w:rFonts w:eastAsia="Times New Roman" w:cstheme="minorHAnsi"/>
          <w:lang w:eastAsia="en-GB"/>
        </w:rPr>
        <w:t>.</w:t>
      </w:r>
    </w:p>
    <w:p w14:paraId="1E397E01" w14:textId="4E2B7303" w:rsidR="009D6F69" w:rsidRDefault="00832C80" w:rsidP="009F21E6">
      <w:pPr>
        <w:numPr>
          <w:ilvl w:val="0"/>
          <w:numId w:val="23"/>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Agreed locally that where there is an open social services </w:t>
      </w:r>
      <w:r w:rsidR="00EA79B2">
        <w:rPr>
          <w:rFonts w:eastAsia="Times New Roman" w:cstheme="minorHAnsi"/>
          <w:lang w:eastAsia="en-GB"/>
        </w:rPr>
        <w:t xml:space="preserve">file in relation to </w:t>
      </w:r>
      <w:r w:rsidR="007A5BAB">
        <w:rPr>
          <w:rFonts w:eastAsia="Times New Roman" w:cstheme="minorHAnsi"/>
          <w:lang w:eastAsia="en-GB"/>
        </w:rPr>
        <w:t>the</w:t>
      </w:r>
      <w:r w:rsidR="00EA79B2">
        <w:rPr>
          <w:rFonts w:eastAsia="Times New Roman" w:cstheme="minorHAnsi"/>
          <w:lang w:eastAsia="en-GB"/>
        </w:rPr>
        <w:t xml:space="preserve"> child</w:t>
      </w:r>
      <w:r w:rsidR="00F516E7">
        <w:rPr>
          <w:rFonts w:eastAsia="Times New Roman" w:cstheme="minorHAnsi"/>
          <w:lang w:eastAsia="en-GB"/>
        </w:rPr>
        <w:t xml:space="preserve"> of</w:t>
      </w:r>
      <w:r w:rsidR="00EA79B2">
        <w:rPr>
          <w:rFonts w:eastAsia="Times New Roman" w:cstheme="minorHAnsi"/>
          <w:lang w:eastAsia="en-GB"/>
        </w:rPr>
        <w:t xml:space="preserve"> a victim of </w:t>
      </w:r>
      <w:r w:rsidR="00F516E7">
        <w:rPr>
          <w:rFonts w:eastAsia="Times New Roman" w:cstheme="minorHAnsi"/>
          <w:lang w:eastAsia="en-GB"/>
        </w:rPr>
        <w:t>a DHR</w:t>
      </w:r>
      <w:r w:rsidR="00EC3A85">
        <w:rPr>
          <w:rFonts w:eastAsia="Times New Roman" w:cstheme="minorHAnsi"/>
          <w:lang w:eastAsia="en-GB"/>
        </w:rPr>
        <w:t>, a copy of t</w:t>
      </w:r>
      <w:r w:rsidR="008644DB">
        <w:rPr>
          <w:rFonts w:eastAsia="Times New Roman" w:cstheme="minorHAnsi"/>
          <w:lang w:eastAsia="en-GB"/>
        </w:rPr>
        <w:t>h</w:t>
      </w:r>
      <w:r w:rsidR="00EC3A85">
        <w:rPr>
          <w:rFonts w:eastAsia="Times New Roman" w:cstheme="minorHAnsi"/>
          <w:lang w:eastAsia="en-GB"/>
        </w:rPr>
        <w:t>e final DHR report will be placed upon their file by Children Services</w:t>
      </w:r>
      <w:r w:rsidR="008644DB">
        <w:rPr>
          <w:rFonts w:eastAsia="Times New Roman" w:cstheme="minorHAnsi"/>
          <w:lang w:eastAsia="en-GB"/>
        </w:rPr>
        <w:t>.</w:t>
      </w:r>
    </w:p>
    <w:p w14:paraId="132150F2" w14:textId="6BBD0E14" w:rsidR="00203695" w:rsidRDefault="00203695" w:rsidP="009F21E6">
      <w:pPr>
        <w:numPr>
          <w:ilvl w:val="0"/>
          <w:numId w:val="23"/>
        </w:numPr>
        <w:spacing w:before="100" w:beforeAutospacing="1" w:after="100" w:afterAutospacing="1" w:line="240" w:lineRule="auto"/>
        <w:rPr>
          <w:rFonts w:eastAsia="Times New Roman" w:cstheme="minorHAnsi"/>
          <w:lang w:eastAsia="en-GB"/>
        </w:rPr>
      </w:pPr>
      <w:r>
        <w:rPr>
          <w:rFonts w:eastAsia="Times New Roman" w:cstheme="minorHAnsi"/>
          <w:lang w:eastAsia="en-GB"/>
        </w:rPr>
        <w:lastRenderedPageBreak/>
        <w:t xml:space="preserve">The Learning Bulletin provided by the Author will be </w:t>
      </w:r>
      <w:r w:rsidR="00F246A0">
        <w:rPr>
          <w:rFonts w:eastAsia="Times New Roman" w:cstheme="minorHAnsi"/>
          <w:lang w:eastAsia="en-GB"/>
        </w:rPr>
        <w:t>disseminated</w:t>
      </w:r>
      <w:r>
        <w:rPr>
          <w:rFonts w:eastAsia="Times New Roman" w:cstheme="minorHAnsi"/>
          <w:lang w:eastAsia="en-GB"/>
        </w:rPr>
        <w:t xml:space="preserve"> by all agencies and placed on the </w:t>
      </w:r>
      <w:hyperlink r:id="rId24" w:history="1">
        <w:r w:rsidR="00F246A0" w:rsidRPr="00BC0F6C">
          <w:rPr>
            <w:rStyle w:val="Hyperlink"/>
            <w:rFonts w:eastAsia="Times New Roman" w:cstheme="minorHAnsi"/>
            <w:lang w:eastAsia="en-GB"/>
          </w:rPr>
          <w:t>Professionals Hub</w:t>
        </w:r>
      </w:hyperlink>
      <w:r w:rsidR="00F246A0">
        <w:rPr>
          <w:rFonts w:eastAsia="Times New Roman" w:cstheme="minorHAnsi"/>
          <w:lang w:eastAsia="en-GB"/>
        </w:rPr>
        <w:t>.</w:t>
      </w:r>
    </w:p>
    <w:p w14:paraId="1A809F0D" w14:textId="62F9AA77" w:rsidR="001B0460" w:rsidRPr="001C7B04" w:rsidRDefault="00067870" w:rsidP="001B0460">
      <w:pPr>
        <w:spacing w:after="0" w:line="240" w:lineRule="auto"/>
        <w:rPr>
          <w:rFonts w:eastAsia="Times New Roman" w:cstheme="minorHAnsi"/>
          <w:b/>
          <w:u w:val="single"/>
          <w:lang w:eastAsia="en-GB"/>
        </w:rPr>
      </w:pPr>
      <w:r>
        <w:rPr>
          <w:rFonts w:eastAsia="Times New Roman" w:cstheme="minorHAnsi"/>
          <w:b/>
          <w:u w:val="single"/>
          <w:lang w:eastAsia="en-GB"/>
        </w:rPr>
        <w:t>1</w:t>
      </w:r>
      <w:r w:rsidR="009E5FB4">
        <w:rPr>
          <w:rFonts w:eastAsia="Times New Roman" w:cstheme="minorHAnsi"/>
          <w:b/>
          <w:u w:val="single"/>
          <w:lang w:eastAsia="en-GB"/>
        </w:rPr>
        <w:t>4</w:t>
      </w:r>
      <w:r w:rsidR="001B0460" w:rsidRPr="001C7B04">
        <w:rPr>
          <w:rFonts w:eastAsia="Times New Roman" w:cstheme="minorHAnsi"/>
          <w:b/>
          <w:u w:val="single"/>
          <w:lang w:eastAsia="en-GB"/>
        </w:rPr>
        <w:t xml:space="preserve">. </w:t>
      </w:r>
      <w:bookmarkStart w:id="12" w:name="PublicationOfOR"/>
      <w:r w:rsidR="001B0460" w:rsidRPr="001C7B04">
        <w:rPr>
          <w:rFonts w:eastAsia="Times New Roman" w:cstheme="minorHAnsi"/>
          <w:b/>
          <w:u w:val="single"/>
          <w:lang w:eastAsia="en-GB"/>
        </w:rPr>
        <w:t>PUBLICATION OF THE OVERVIEW REPORT</w:t>
      </w:r>
      <w:bookmarkEnd w:id="12"/>
    </w:p>
    <w:p w14:paraId="536284FF" w14:textId="77777777" w:rsidR="001B0460" w:rsidRPr="001B0460" w:rsidRDefault="001B0460" w:rsidP="001B0460">
      <w:pPr>
        <w:autoSpaceDE w:val="0"/>
        <w:autoSpaceDN w:val="0"/>
        <w:adjustRightInd w:val="0"/>
        <w:spacing w:after="0" w:line="240" w:lineRule="auto"/>
        <w:rPr>
          <w:rFonts w:eastAsia="Times New Roman" w:cstheme="minorHAnsi"/>
          <w:lang w:eastAsia="en-GB"/>
        </w:rPr>
      </w:pPr>
    </w:p>
    <w:p w14:paraId="05950B39" w14:textId="63F95737" w:rsidR="001B0460" w:rsidRPr="001B0460" w:rsidRDefault="00067870" w:rsidP="001B0460">
      <w:p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4</w:t>
      </w:r>
      <w:r w:rsidR="001B0460" w:rsidRPr="001B0460">
        <w:rPr>
          <w:rFonts w:eastAsia="Times New Roman" w:cstheme="minorHAnsi"/>
          <w:lang w:eastAsia="en-GB"/>
        </w:rPr>
        <w:t>.1 In all cases, the Overview Report</w:t>
      </w:r>
      <w:r w:rsidR="00BC0F6C">
        <w:rPr>
          <w:rFonts w:eastAsia="Times New Roman" w:cstheme="minorHAnsi"/>
          <w:lang w:eastAsia="en-GB"/>
        </w:rPr>
        <w:t xml:space="preserve"> and</w:t>
      </w:r>
      <w:r w:rsidR="001B0460" w:rsidRPr="001B0460">
        <w:rPr>
          <w:rFonts w:eastAsia="Times New Roman" w:cstheme="minorHAnsi"/>
          <w:lang w:eastAsia="en-GB"/>
        </w:rPr>
        <w:t xml:space="preserve"> Executive Summary</w:t>
      </w:r>
      <w:r w:rsidR="00886107" w:rsidRPr="001B0460">
        <w:rPr>
          <w:rFonts w:eastAsia="Times New Roman" w:cstheme="minorHAnsi"/>
          <w:lang w:eastAsia="en-GB"/>
        </w:rPr>
        <w:t xml:space="preserve"> </w:t>
      </w:r>
      <w:r w:rsidR="001B0460" w:rsidRPr="001B0460">
        <w:rPr>
          <w:rFonts w:eastAsia="Times New Roman" w:cstheme="minorHAnsi"/>
          <w:lang w:eastAsia="en-GB"/>
        </w:rPr>
        <w:t xml:space="preserve">should be suitably anonymised and made publicly available. IMRs should </w:t>
      </w:r>
      <w:r w:rsidR="00CB22D6">
        <w:rPr>
          <w:rFonts w:eastAsia="Times New Roman" w:cstheme="minorHAnsi"/>
          <w:lang w:eastAsia="en-GB"/>
        </w:rPr>
        <w:t>not be made publicly available.</w:t>
      </w:r>
    </w:p>
    <w:p w14:paraId="41DC425A" w14:textId="77777777" w:rsidR="001B0460" w:rsidRPr="001B0460" w:rsidRDefault="001B0460" w:rsidP="001B0460">
      <w:pPr>
        <w:autoSpaceDE w:val="0"/>
        <w:autoSpaceDN w:val="0"/>
        <w:adjustRightInd w:val="0"/>
        <w:spacing w:after="0" w:line="240" w:lineRule="auto"/>
        <w:jc w:val="both"/>
        <w:rPr>
          <w:rFonts w:eastAsia="Times New Roman" w:cstheme="minorHAnsi"/>
          <w:lang w:eastAsia="en-GB"/>
        </w:rPr>
      </w:pPr>
    </w:p>
    <w:p w14:paraId="39EA5CD3" w14:textId="128779B6" w:rsidR="001B0460" w:rsidRPr="001B0460" w:rsidRDefault="00067870" w:rsidP="001B0460">
      <w:p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4</w:t>
      </w:r>
      <w:r w:rsidR="001B0460" w:rsidRPr="001B0460">
        <w:rPr>
          <w:rFonts w:eastAsia="Times New Roman" w:cstheme="minorHAnsi"/>
          <w:lang w:eastAsia="en-GB"/>
        </w:rPr>
        <w:t xml:space="preserve">.2 All </w:t>
      </w:r>
      <w:r w:rsidR="00886107" w:rsidRPr="001B0460">
        <w:rPr>
          <w:rFonts w:eastAsia="Times New Roman" w:cstheme="minorHAnsi"/>
          <w:lang w:eastAsia="en-GB"/>
        </w:rPr>
        <w:t>Overview Report</w:t>
      </w:r>
      <w:r w:rsidR="00C70445">
        <w:rPr>
          <w:rFonts w:eastAsia="Times New Roman" w:cstheme="minorHAnsi"/>
          <w:lang w:eastAsia="en-GB"/>
        </w:rPr>
        <w:t>s and</w:t>
      </w:r>
      <w:r w:rsidR="00886107" w:rsidRPr="001B0460">
        <w:rPr>
          <w:rFonts w:eastAsia="Times New Roman" w:cstheme="minorHAnsi"/>
          <w:lang w:eastAsia="en-GB"/>
        </w:rPr>
        <w:t xml:space="preserve"> Executive Summar</w:t>
      </w:r>
      <w:r w:rsidR="00C70445">
        <w:rPr>
          <w:rFonts w:eastAsia="Times New Roman" w:cstheme="minorHAnsi"/>
          <w:lang w:eastAsia="en-GB"/>
        </w:rPr>
        <w:t>y’s</w:t>
      </w:r>
      <w:r w:rsidR="00BC0F6C">
        <w:rPr>
          <w:rFonts w:eastAsia="Times New Roman" w:cstheme="minorHAnsi"/>
          <w:lang w:eastAsia="en-GB"/>
        </w:rPr>
        <w:t xml:space="preserve"> w</w:t>
      </w:r>
      <w:r w:rsidR="001B0460" w:rsidRPr="001B0460">
        <w:rPr>
          <w:rFonts w:eastAsia="Times New Roman" w:cstheme="minorHAnsi"/>
          <w:lang w:eastAsia="en-GB"/>
        </w:rPr>
        <w:t>ill be published on the Safer Lincolnshire Partnership website unless there are compelling reasons relating to the welfare of any children or other persons directly concerned in the review for this not to happen. The reports will only be published following agreement from the Quality Assurance Panel at the Home Office. The reasons for not publishing an Overview Report or Executive Summary should be communicat</w:t>
      </w:r>
      <w:r w:rsidR="00CB22D6">
        <w:rPr>
          <w:rFonts w:eastAsia="Times New Roman" w:cstheme="minorHAnsi"/>
          <w:lang w:eastAsia="en-GB"/>
        </w:rPr>
        <w:t>ed to the Home Office QA Panel.</w:t>
      </w:r>
    </w:p>
    <w:p w14:paraId="6EF7D43B" w14:textId="77777777" w:rsidR="001B0460" w:rsidRPr="001B0460" w:rsidRDefault="001B0460" w:rsidP="001B0460">
      <w:pPr>
        <w:autoSpaceDE w:val="0"/>
        <w:autoSpaceDN w:val="0"/>
        <w:adjustRightInd w:val="0"/>
        <w:spacing w:after="0" w:line="240" w:lineRule="auto"/>
        <w:jc w:val="both"/>
        <w:rPr>
          <w:rFonts w:eastAsia="Times New Roman" w:cstheme="minorHAnsi"/>
          <w:lang w:eastAsia="en-GB"/>
        </w:rPr>
      </w:pPr>
    </w:p>
    <w:p w14:paraId="3495C383" w14:textId="406042BC" w:rsidR="001B0460" w:rsidRPr="001B0460" w:rsidRDefault="00067870" w:rsidP="001B0460">
      <w:p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4</w:t>
      </w:r>
      <w:r w:rsidR="001B0460" w:rsidRPr="001B0460">
        <w:rPr>
          <w:rFonts w:eastAsia="Times New Roman" w:cstheme="minorHAnsi"/>
          <w:lang w:eastAsia="en-GB"/>
        </w:rPr>
        <w:t>.3 Where information is sought using the Freedom of Information Act (FOIA) 2000, it is important to refer to sections 21, 22, 30, 31, 40, 41 and 42 of that Act</w:t>
      </w:r>
      <w:r w:rsidR="00CB22D6">
        <w:rPr>
          <w:rFonts w:eastAsia="Times New Roman" w:cstheme="minorHAnsi"/>
          <w:lang w:eastAsia="en-GB"/>
        </w:rPr>
        <w:t xml:space="preserve"> which identify key exemptions.</w:t>
      </w:r>
    </w:p>
    <w:p w14:paraId="707A379A" w14:textId="77777777" w:rsidR="001B0460" w:rsidRPr="001B0460" w:rsidRDefault="001B0460" w:rsidP="001B0460">
      <w:pPr>
        <w:autoSpaceDE w:val="0"/>
        <w:autoSpaceDN w:val="0"/>
        <w:adjustRightInd w:val="0"/>
        <w:spacing w:after="0" w:line="240" w:lineRule="auto"/>
        <w:jc w:val="both"/>
        <w:rPr>
          <w:rFonts w:eastAsia="Times New Roman" w:cstheme="minorHAnsi"/>
          <w:lang w:eastAsia="en-GB"/>
        </w:rPr>
      </w:pPr>
    </w:p>
    <w:p w14:paraId="1BB405EF" w14:textId="698A17A0" w:rsidR="001B0460" w:rsidRPr="001B0460" w:rsidRDefault="00067870" w:rsidP="001B0460">
      <w:p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4</w:t>
      </w:r>
      <w:r w:rsidR="001B0460" w:rsidRPr="001B0460">
        <w:rPr>
          <w:rFonts w:eastAsia="Times New Roman" w:cstheme="minorHAnsi"/>
          <w:lang w:eastAsia="en-GB"/>
        </w:rPr>
        <w:t>.4 Where appropriate, consideration should also be given to translating the executive summary into different languages and other formats, such as Braille or British S</w:t>
      </w:r>
      <w:r w:rsidR="00CB22D6">
        <w:rPr>
          <w:rFonts w:eastAsia="Times New Roman" w:cstheme="minorHAnsi"/>
          <w:lang w:eastAsia="en-GB"/>
        </w:rPr>
        <w:t>ign Language.</w:t>
      </w:r>
    </w:p>
    <w:p w14:paraId="64546662" w14:textId="77777777" w:rsidR="001B0460" w:rsidRPr="001B0460" w:rsidRDefault="001B0460" w:rsidP="001B0460">
      <w:pPr>
        <w:autoSpaceDE w:val="0"/>
        <w:autoSpaceDN w:val="0"/>
        <w:adjustRightInd w:val="0"/>
        <w:spacing w:after="0" w:line="240" w:lineRule="auto"/>
        <w:jc w:val="both"/>
        <w:rPr>
          <w:rFonts w:eastAsia="Times New Roman" w:cstheme="minorHAnsi"/>
          <w:lang w:eastAsia="en-GB"/>
        </w:rPr>
      </w:pPr>
    </w:p>
    <w:p w14:paraId="14E89F29" w14:textId="6E1108ED" w:rsidR="001B0460" w:rsidRPr="001B0460" w:rsidRDefault="00067870" w:rsidP="001B0460">
      <w:p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4</w:t>
      </w:r>
      <w:r w:rsidR="001B0460" w:rsidRPr="001B0460">
        <w:rPr>
          <w:rFonts w:eastAsia="Times New Roman" w:cstheme="minorHAnsi"/>
          <w:lang w:eastAsia="en-GB"/>
        </w:rPr>
        <w:t>.5 In some cases, it may not be possible to finalise the IMRs and the Overview Report or to finalise and publish an Executive Summary until after coronial or criminal proceedings have been concluded, but this should not prevent early lessons</w:t>
      </w:r>
      <w:r w:rsidR="00CB22D6">
        <w:rPr>
          <w:rFonts w:eastAsia="Times New Roman" w:cstheme="minorHAnsi"/>
          <w:lang w:eastAsia="en-GB"/>
        </w:rPr>
        <w:t xml:space="preserve"> learned from being acted upon.</w:t>
      </w:r>
    </w:p>
    <w:p w14:paraId="3B2EAE67" w14:textId="77777777" w:rsidR="001B0460" w:rsidRPr="001B0460" w:rsidRDefault="001B0460" w:rsidP="001B0460">
      <w:pPr>
        <w:autoSpaceDE w:val="0"/>
        <w:autoSpaceDN w:val="0"/>
        <w:adjustRightInd w:val="0"/>
        <w:spacing w:after="0" w:line="240" w:lineRule="auto"/>
        <w:jc w:val="both"/>
        <w:rPr>
          <w:rFonts w:eastAsia="Times New Roman" w:cstheme="minorHAnsi"/>
          <w:lang w:eastAsia="en-GB"/>
        </w:rPr>
      </w:pPr>
    </w:p>
    <w:p w14:paraId="08E57C57" w14:textId="244A26B9" w:rsidR="001B0460" w:rsidRPr="001B0460" w:rsidRDefault="00067870" w:rsidP="001B0460">
      <w:p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4</w:t>
      </w:r>
      <w:r w:rsidR="001B0460" w:rsidRPr="001B0460">
        <w:rPr>
          <w:rFonts w:eastAsia="Times New Roman" w:cstheme="minorHAnsi"/>
          <w:lang w:eastAsia="en-GB"/>
        </w:rPr>
        <w:t xml:space="preserve">.6 The Independent Overview Report Author should, in their final Overview Report, </w:t>
      </w:r>
      <w:proofErr w:type="gramStart"/>
      <w:r w:rsidR="001B0460" w:rsidRPr="001B0460">
        <w:rPr>
          <w:rFonts w:eastAsia="Times New Roman" w:cstheme="minorHAnsi"/>
          <w:lang w:eastAsia="en-GB"/>
        </w:rPr>
        <w:t>make reference</w:t>
      </w:r>
      <w:proofErr w:type="gramEnd"/>
      <w:r w:rsidR="001B0460" w:rsidRPr="001B0460">
        <w:rPr>
          <w:rFonts w:eastAsia="Times New Roman" w:cstheme="minorHAnsi"/>
          <w:lang w:eastAsia="en-GB"/>
        </w:rPr>
        <w:t xml:space="preserve"> to any requests to delay the planned work of the DHR panel, and include a copy of the written request as an appendix so that it can clearly be under</w:t>
      </w:r>
      <w:r w:rsidR="00CB22D6">
        <w:rPr>
          <w:rFonts w:eastAsia="Times New Roman" w:cstheme="minorHAnsi"/>
          <w:lang w:eastAsia="en-GB"/>
        </w:rPr>
        <w:t>stood why the request was made.</w:t>
      </w:r>
    </w:p>
    <w:p w14:paraId="66DFBDB1" w14:textId="77777777" w:rsidR="001B0460" w:rsidRPr="001B0460" w:rsidRDefault="001B0460" w:rsidP="001B0460">
      <w:pPr>
        <w:spacing w:after="0" w:line="240" w:lineRule="auto"/>
        <w:jc w:val="both"/>
        <w:rPr>
          <w:rFonts w:eastAsia="Times New Roman" w:cstheme="minorHAnsi"/>
          <w:lang w:eastAsia="en-GB"/>
        </w:rPr>
      </w:pPr>
    </w:p>
    <w:p w14:paraId="307D0FF6" w14:textId="12C4937A" w:rsidR="001B0460" w:rsidRDefault="00067870" w:rsidP="001B0460">
      <w:pPr>
        <w:spacing w:after="0" w:line="240" w:lineRule="auto"/>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4</w:t>
      </w:r>
      <w:r w:rsidR="001B0460" w:rsidRPr="001B0460">
        <w:rPr>
          <w:rFonts w:eastAsia="Times New Roman" w:cstheme="minorHAnsi"/>
          <w:lang w:eastAsia="en-GB"/>
        </w:rPr>
        <w:t>.7 The Panel will ensure that there is a designated person for family and friends and members of the public to contact when the report is published.</w:t>
      </w:r>
    </w:p>
    <w:p w14:paraId="1A394A84" w14:textId="77777777" w:rsidR="009E5FB4" w:rsidRDefault="009E5FB4" w:rsidP="001B0460">
      <w:pPr>
        <w:spacing w:after="0" w:line="240" w:lineRule="auto"/>
        <w:rPr>
          <w:rFonts w:eastAsia="Times New Roman" w:cstheme="minorHAnsi"/>
          <w:lang w:eastAsia="en-GB"/>
        </w:rPr>
      </w:pPr>
    </w:p>
    <w:p w14:paraId="63CA94B8" w14:textId="77777777" w:rsidR="003063A2" w:rsidRDefault="003063A2" w:rsidP="00DA0E69">
      <w:pPr>
        <w:spacing w:after="0" w:line="240" w:lineRule="auto"/>
        <w:rPr>
          <w:rFonts w:eastAsia="Times New Roman" w:cstheme="minorHAnsi"/>
          <w:b/>
          <w:bCs/>
          <w:lang w:eastAsia="en-GB"/>
        </w:rPr>
      </w:pPr>
    </w:p>
    <w:p w14:paraId="70A3F230" w14:textId="63558B36" w:rsidR="00DA0E69" w:rsidRPr="00E47F09" w:rsidRDefault="00067870" w:rsidP="00DA0E69">
      <w:pPr>
        <w:spacing w:after="0" w:line="240" w:lineRule="auto"/>
        <w:rPr>
          <w:rFonts w:eastAsia="Times New Roman" w:cstheme="minorHAnsi"/>
          <w:b/>
          <w:bCs/>
          <w:lang w:eastAsia="en-GB"/>
        </w:rPr>
      </w:pPr>
      <w:r w:rsidRPr="00E47F09">
        <w:rPr>
          <w:rFonts w:eastAsia="Times New Roman" w:cstheme="minorHAnsi"/>
          <w:b/>
          <w:bCs/>
          <w:lang w:eastAsia="en-GB"/>
        </w:rPr>
        <w:t>1</w:t>
      </w:r>
      <w:r w:rsidR="009E5FB4">
        <w:rPr>
          <w:rFonts w:eastAsia="Times New Roman" w:cstheme="minorHAnsi"/>
          <w:b/>
          <w:bCs/>
          <w:lang w:eastAsia="en-GB"/>
        </w:rPr>
        <w:t>5</w:t>
      </w:r>
      <w:r w:rsidR="00DA0E69" w:rsidRPr="00E47F09">
        <w:rPr>
          <w:rFonts w:eastAsia="Times New Roman" w:cstheme="minorHAnsi"/>
          <w:b/>
          <w:bCs/>
          <w:lang w:eastAsia="en-GB"/>
        </w:rPr>
        <w:t xml:space="preserve">. </w:t>
      </w:r>
      <w:bookmarkStart w:id="13" w:name="DocumentRetention"/>
      <w:r w:rsidR="00DA0E69" w:rsidRPr="00E47F09">
        <w:rPr>
          <w:rFonts w:eastAsia="Times New Roman" w:cstheme="minorHAnsi"/>
          <w:b/>
          <w:bCs/>
          <w:lang w:eastAsia="en-GB"/>
        </w:rPr>
        <w:t>DOCUMENT RETENTION</w:t>
      </w:r>
      <w:bookmarkEnd w:id="13"/>
    </w:p>
    <w:p w14:paraId="5C8F0BC1" w14:textId="77777777" w:rsidR="00DA0E69" w:rsidRPr="00DA0E69" w:rsidRDefault="00DA0E69" w:rsidP="00DA0E69">
      <w:pPr>
        <w:spacing w:after="0" w:line="240" w:lineRule="auto"/>
        <w:rPr>
          <w:rFonts w:eastAsia="Times New Roman" w:cstheme="minorHAnsi"/>
          <w:lang w:eastAsia="en-GB"/>
        </w:rPr>
      </w:pPr>
    </w:p>
    <w:p w14:paraId="76C2CFBD" w14:textId="29F6E1AF" w:rsidR="00DA0E69" w:rsidRPr="00EA2B8E" w:rsidRDefault="00067870" w:rsidP="00DA0E69">
      <w:pPr>
        <w:spacing w:after="0" w:line="240" w:lineRule="auto"/>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5</w:t>
      </w:r>
      <w:r w:rsidR="0097411E" w:rsidRPr="00EA2B8E">
        <w:rPr>
          <w:rFonts w:eastAsia="Times New Roman" w:cstheme="minorHAnsi"/>
          <w:lang w:eastAsia="en-GB"/>
        </w:rPr>
        <w:t>.1 Retention Period of Published Reports</w:t>
      </w:r>
    </w:p>
    <w:p w14:paraId="2AA883B1" w14:textId="77777777" w:rsidR="00C175A2" w:rsidRDefault="0097411E" w:rsidP="00DA0E69">
      <w:pPr>
        <w:spacing w:after="0" w:line="240" w:lineRule="auto"/>
        <w:rPr>
          <w:rFonts w:eastAsia="Times New Roman" w:cstheme="minorHAnsi"/>
          <w:lang w:eastAsia="en-GB"/>
        </w:rPr>
      </w:pPr>
      <w:r>
        <w:rPr>
          <w:rFonts w:eastAsia="Times New Roman" w:cstheme="minorHAnsi"/>
          <w:lang w:eastAsia="en-GB"/>
        </w:rPr>
        <w:t xml:space="preserve">The following DHR reports </w:t>
      </w:r>
      <w:r w:rsidR="00C175A2">
        <w:rPr>
          <w:rFonts w:eastAsia="Times New Roman" w:cstheme="minorHAnsi"/>
          <w:lang w:eastAsia="en-GB"/>
        </w:rPr>
        <w:t>on the Safer Li</w:t>
      </w:r>
      <w:r>
        <w:rPr>
          <w:rFonts w:eastAsia="Times New Roman" w:cstheme="minorHAnsi"/>
          <w:lang w:eastAsia="en-GB"/>
        </w:rPr>
        <w:t xml:space="preserve">ncolnshire Partnership website will be removed </w:t>
      </w:r>
      <w:r w:rsidR="00C175A2">
        <w:rPr>
          <w:rFonts w:eastAsia="Times New Roman" w:cstheme="minorHAnsi"/>
          <w:lang w:eastAsia="en-GB"/>
        </w:rPr>
        <w:t>1 year</w:t>
      </w:r>
      <w:r>
        <w:rPr>
          <w:rFonts w:eastAsia="Times New Roman" w:cstheme="minorHAnsi"/>
          <w:lang w:eastAsia="en-GB"/>
        </w:rPr>
        <w:t xml:space="preserve"> after publication:</w:t>
      </w:r>
    </w:p>
    <w:p w14:paraId="1DD0E4DC" w14:textId="77777777" w:rsidR="0097411E" w:rsidRPr="0097411E" w:rsidRDefault="0097411E" w:rsidP="009F21E6">
      <w:pPr>
        <w:pStyle w:val="ListParagraph"/>
        <w:numPr>
          <w:ilvl w:val="0"/>
          <w:numId w:val="13"/>
        </w:numPr>
        <w:spacing w:after="0" w:line="240" w:lineRule="auto"/>
        <w:rPr>
          <w:rFonts w:eastAsia="Times New Roman" w:cstheme="minorHAnsi"/>
          <w:lang w:eastAsia="en-GB"/>
        </w:rPr>
      </w:pPr>
      <w:r w:rsidRPr="0097411E">
        <w:rPr>
          <w:rFonts w:eastAsia="Times New Roman" w:cstheme="minorHAnsi"/>
          <w:lang w:eastAsia="en-GB"/>
        </w:rPr>
        <w:t>Overview Report</w:t>
      </w:r>
    </w:p>
    <w:p w14:paraId="71E8914E" w14:textId="77777777" w:rsidR="0097411E" w:rsidRPr="0097411E" w:rsidRDefault="0097411E" w:rsidP="009F21E6">
      <w:pPr>
        <w:pStyle w:val="ListParagraph"/>
        <w:numPr>
          <w:ilvl w:val="0"/>
          <w:numId w:val="13"/>
        </w:numPr>
        <w:spacing w:after="0" w:line="240" w:lineRule="auto"/>
        <w:rPr>
          <w:rFonts w:eastAsia="Times New Roman" w:cstheme="minorHAnsi"/>
          <w:lang w:eastAsia="en-GB"/>
        </w:rPr>
      </w:pPr>
      <w:r w:rsidRPr="0097411E">
        <w:rPr>
          <w:rFonts w:eastAsia="Times New Roman" w:cstheme="minorHAnsi"/>
          <w:lang w:eastAsia="en-GB"/>
        </w:rPr>
        <w:t>Executive Summary</w:t>
      </w:r>
    </w:p>
    <w:p w14:paraId="6A45BDE7" w14:textId="77777777" w:rsidR="0097411E" w:rsidRDefault="0097411E" w:rsidP="00DA0E69">
      <w:pPr>
        <w:spacing w:after="0" w:line="240" w:lineRule="auto"/>
        <w:rPr>
          <w:rFonts w:eastAsia="Times New Roman" w:cstheme="minorHAnsi"/>
          <w:lang w:eastAsia="en-GB"/>
        </w:rPr>
      </w:pPr>
    </w:p>
    <w:p w14:paraId="109328EE" w14:textId="0DB355A5" w:rsidR="0097411E" w:rsidRDefault="0097411E" w:rsidP="00DA0E69">
      <w:pPr>
        <w:spacing w:after="0" w:line="240" w:lineRule="auto"/>
        <w:rPr>
          <w:rFonts w:eastAsia="Times New Roman" w:cstheme="minorHAnsi"/>
          <w:lang w:eastAsia="en-GB"/>
        </w:rPr>
      </w:pPr>
      <w:r>
        <w:rPr>
          <w:rFonts w:eastAsia="Times New Roman" w:cstheme="minorHAnsi"/>
          <w:lang w:eastAsia="en-GB"/>
        </w:rPr>
        <w:t>T</w:t>
      </w:r>
      <w:r w:rsidR="00EA2B8E">
        <w:rPr>
          <w:rFonts w:eastAsia="Times New Roman" w:cstheme="minorHAnsi"/>
          <w:lang w:eastAsia="en-GB"/>
        </w:rPr>
        <w:t>hese</w:t>
      </w:r>
      <w:r>
        <w:rPr>
          <w:rFonts w:eastAsia="Times New Roman" w:cstheme="minorHAnsi"/>
          <w:lang w:eastAsia="en-GB"/>
        </w:rPr>
        <w:t xml:space="preserve"> will then be retained for a period of </w:t>
      </w:r>
      <w:r w:rsidR="009E20E1">
        <w:rPr>
          <w:rFonts w:eastAsia="Times New Roman" w:cstheme="minorHAnsi"/>
          <w:lang w:eastAsia="en-GB"/>
        </w:rPr>
        <w:t>25</w:t>
      </w:r>
      <w:r>
        <w:rPr>
          <w:rFonts w:eastAsia="Times New Roman" w:cstheme="minorHAnsi"/>
          <w:lang w:eastAsia="en-GB"/>
        </w:rPr>
        <w:t xml:space="preserve"> years after the publication date</w:t>
      </w:r>
      <w:r w:rsidR="00EA2B8E">
        <w:rPr>
          <w:rFonts w:eastAsia="Times New Roman" w:cstheme="minorHAnsi"/>
          <w:lang w:eastAsia="en-GB"/>
        </w:rPr>
        <w:t xml:space="preserve"> along with the Feedback letter from the Home Office</w:t>
      </w:r>
      <w:r>
        <w:rPr>
          <w:rFonts w:eastAsia="Times New Roman" w:cstheme="minorHAnsi"/>
          <w:lang w:eastAsia="en-GB"/>
        </w:rPr>
        <w:t>.</w:t>
      </w:r>
    </w:p>
    <w:p w14:paraId="7895ED0D" w14:textId="77777777" w:rsidR="0097411E" w:rsidRDefault="0097411E" w:rsidP="00DA0E69">
      <w:pPr>
        <w:spacing w:after="0" w:line="240" w:lineRule="auto"/>
        <w:rPr>
          <w:rFonts w:eastAsia="Times New Roman" w:cstheme="minorHAnsi"/>
          <w:lang w:eastAsia="en-GB"/>
        </w:rPr>
      </w:pPr>
    </w:p>
    <w:p w14:paraId="758D21CB" w14:textId="64E84574" w:rsidR="007C6CB2" w:rsidRPr="00DA0E69" w:rsidRDefault="00DA0E69" w:rsidP="00DA0E69">
      <w:pPr>
        <w:spacing w:after="0" w:line="240" w:lineRule="auto"/>
        <w:rPr>
          <w:rFonts w:eastAsia="Times New Roman" w:cstheme="minorHAnsi"/>
          <w:lang w:eastAsia="en-GB"/>
        </w:rPr>
      </w:pPr>
      <w:r w:rsidRPr="00DA0E69">
        <w:rPr>
          <w:rFonts w:eastAsia="Times New Roman" w:cstheme="minorHAnsi"/>
          <w:lang w:eastAsia="en-GB"/>
        </w:rPr>
        <w:t xml:space="preserve">If </w:t>
      </w:r>
      <w:r w:rsidR="0097411E">
        <w:rPr>
          <w:rFonts w:eastAsia="Times New Roman" w:cstheme="minorHAnsi"/>
          <w:lang w:eastAsia="en-GB"/>
        </w:rPr>
        <w:t>the report involves any</w:t>
      </w:r>
      <w:r w:rsidRPr="00DA0E69">
        <w:rPr>
          <w:rFonts w:eastAsia="Times New Roman" w:cstheme="minorHAnsi"/>
          <w:lang w:eastAsia="en-GB"/>
        </w:rPr>
        <w:t xml:space="preserve"> children </w:t>
      </w:r>
      <w:r w:rsidR="0097411E">
        <w:rPr>
          <w:rFonts w:eastAsia="Times New Roman" w:cstheme="minorHAnsi"/>
          <w:lang w:eastAsia="en-GB"/>
        </w:rPr>
        <w:t>who</w:t>
      </w:r>
      <w:r w:rsidRPr="00DA0E69">
        <w:rPr>
          <w:rFonts w:eastAsia="Times New Roman" w:cstheme="minorHAnsi"/>
          <w:lang w:eastAsia="en-GB"/>
        </w:rPr>
        <w:t xml:space="preserve"> have been open to children services</w:t>
      </w:r>
      <w:r w:rsidR="0097411E">
        <w:rPr>
          <w:rFonts w:eastAsia="Times New Roman" w:cstheme="minorHAnsi"/>
          <w:lang w:eastAsia="en-GB"/>
        </w:rPr>
        <w:t>, the report</w:t>
      </w:r>
      <w:r w:rsidRPr="00DA0E69">
        <w:rPr>
          <w:rFonts w:eastAsia="Times New Roman" w:cstheme="minorHAnsi"/>
          <w:lang w:eastAsia="en-GB"/>
        </w:rPr>
        <w:t xml:space="preserve"> will </w:t>
      </w:r>
      <w:r w:rsidR="00C175A2">
        <w:rPr>
          <w:rFonts w:eastAsia="Times New Roman" w:cstheme="minorHAnsi"/>
          <w:lang w:eastAsia="en-GB"/>
        </w:rPr>
        <w:t xml:space="preserve">also </w:t>
      </w:r>
      <w:r w:rsidRPr="00DA0E69">
        <w:rPr>
          <w:rFonts w:eastAsia="Times New Roman" w:cstheme="minorHAnsi"/>
          <w:lang w:eastAsia="en-GB"/>
        </w:rPr>
        <w:t xml:space="preserve">be held on </w:t>
      </w:r>
      <w:r w:rsidR="0097411E">
        <w:rPr>
          <w:rFonts w:eastAsia="Times New Roman" w:cstheme="minorHAnsi"/>
          <w:lang w:eastAsia="en-GB"/>
        </w:rPr>
        <w:t>the children services'</w:t>
      </w:r>
      <w:r w:rsidRPr="00DA0E69">
        <w:rPr>
          <w:rFonts w:eastAsia="Times New Roman" w:cstheme="minorHAnsi"/>
          <w:lang w:eastAsia="en-GB"/>
        </w:rPr>
        <w:t xml:space="preserve"> files</w:t>
      </w:r>
      <w:r w:rsidR="00C175A2">
        <w:rPr>
          <w:rFonts w:eastAsia="Times New Roman" w:cstheme="minorHAnsi"/>
          <w:lang w:eastAsia="en-GB"/>
        </w:rPr>
        <w:t xml:space="preserve"> in line with LCC Children </w:t>
      </w:r>
      <w:r w:rsidR="007E4677">
        <w:rPr>
          <w:rFonts w:eastAsia="Times New Roman" w:cstheme="minorHAnsi"/>
          <w:lang w:eastAsia="en-GB"/>
        </w:rPr>
        <w:t xml:space="preserve">and Family </w:t>
      </w:r>
      <w:r w:rsidR="00C175A2">
        <w:rPr>
          <w:rFonts w:eastAsia="Times New Roman" w:cstheme="minorHAnsi"/>
          <w:lang w:eastAsia="en-GB"/>
        </w:rPr>
        <w:t xml:space="preserve">Services Document Retention </w:t>
      </w:r>
      <w:r w:rsidR="007E4677">
        <w:rPr>
          <w:rFonts w:eastAsia="Times New Roman" w:cstheme="minorHAnsi"/>
          <w:lang w:eastAsia="en-GB"/>
        </w:rPr>
        <w:t>Schedule.</w:t>
      </w:r>
    </w:p>
    <w:p w14:paraId="58799200" w14:textId="77777777" w:rsidR="00DA0E69" w:rsidRPr="00DA0E69" w:rsidRDefault="00DA0E69" w:rsidP="00DA0E69">
      <w:pPr>
        <w:spacing w:after="0" w:line="240" w:lineRule="auto"/>
        <w:rPr>
          <w:rFonts w:eastAsia="Times New Roman" w:cstheme="minorHAnsi"/>
          <w:lang w:eastAsia="en-GB"/>
        </w:rPr>
      </w:pPr>
    </w:p>
    <w:p w14:paraId="4AE2DC6C" w14:textId="599BB51F" w:rsidR="00DA0E69" w:rsidRPr="00EA2B8E" w:rsidRDefault="00067870" w:rsidP="00DA0E69">
      <w:pPr>
        <w:spacing w:after="0" w:line="240" w:lineRule="auto"/>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5</w:t>
      </w:r>
      <w:r w:rsidR="00DA0E69" w:rsidRPr="00EA2B8E">
        <w:rPr>
          <w:rFonts w:eastAsia="Times New Roman" w:cstheme="minorHAnsi"/>
          <w:lang w:eastAsia="en-GB"/>
        </w:rPr>
        <w:t xml:space="preserve">.2 Retention </w:t>
      </w:r>
      <w:r w:rsidR="0097411E" w:rsidRPr="00EA2B8E">
        <w:rPr>
          <w:rFonts w:eastAsia="Times New Roman" w:cstheme="minorHAnsi"/>
          <w:lang w:eastAsia="en-GB"/>
        </w:rPr>
        <w:t xml:space="preserve">Period </w:t>
      </w:r>
      <w:r w:rsidR="00DA0E69" w:rsidRPr="00EA2B8E">
        <w:rPr>
          <w:rFonts w:eastAsia="Times New Roman" w:cstheme="minorHAnsi"/>
          <w:lang w:eastAsia="en-GB"/>
        </w:rPr>
        <w:t>of</w:t>
      </w:r>
      <w:r w:rsidR="00C175A2" w:rsidRPr="00EA2B8E">
        <w:rPr>
          <w:rFonts w:eastAsia="Times New Roman" w:cstheme="minorHAnsi"/>
          <w:lang w:eastAsia="en-GB"/>
        </w:rPr>
        <w:t xml:space="preserve"> all</w:t>
      </w:r>
      <w:r w:rsidR="00DA0E69" w:rsidRPr="00EA2B8E">
        <w:rPr>
          <w:rFonts w:eastAsia="Times New Roman" w:cstheme="minorHAnsi"/>
          <w:lang w:eastAsia="en-GB"/>
        </w:rPr>
        <w:t xml:space="preserve"> </w:t>
      </w:r>
      <w:r w:rsidR="0097411E" w:rsidRPr="00EA2B8E">
        <w:rPr>
          <w:rFonts w:eastAsia="Times New Roman" w:cstheme="minorHAnsi"/>
          <w:lang w:eastAsia="en-GB"/>
        </w:rPr>
        <w:t xml:space="preserve">other </w:t>
      </w:r>
      <w:r w:rsidR="00DA0E69" w:rsidRPr="00EA2B8E">
        <w:rPr>
          <w:rFonts w:eastAsia="Times New Roman" w:cstheme="minorHAnsi"/>
          <w:lang w:eastAsia="en-GB"/>
        </w:rPr>
        <w:t xml:space="preserve">Data held for the </w:t>
      </w:r>
      <w:proofErr w:type="gramStart"/>
      <w:r w:rsidR="00DA0E69" w:rsidRPr="00EA2B8E">
        <w:rPr>
          <w:rFonts w:eastAsia="Times New Roman" w:cstheme="minorHAnsi"/>
          <w:lang w:eastAsia="en-GB"/>
        </w:rPr>
        <w:t>DHR</w:t>
      </w:r>
      <w:proofErr w:type="gramEnd"/>
    </w:p>
    <w:p w14:paraId="7C2EED94" w14:textId="77777777" w:rsidR="0097411E" w:rsidRDefault="0097411E" w:rsidP="00DA0E69">
      <w:pPr>
        <w:spacing w:after="0" w:line="240" w:lineRule="auto"/>
        <w:rPr>
          <w:rFonts w:eastAsia="Times New Roman" w:cstheme="minorHAnsi"/>
          <w:lang w:eastAsia="en-GB"/>
        </w:rPr>
      </w:pPr>
      <w:r>
        <w:rPr>
          <w:rFonts w:eastAsia="Times New Roman" w:cstheme="minorHAnsi"/>
          <w:lang w:eastAsia="en-GB"/>
        </w:rPr>
        <w:t>The following</w:t>
      </w:r>
      <w:r w:rsidR="00C175A2">
        <w:rPr>
          <w:rFonts w:eastAsia="Times New Roman" w:cstheme="minorHAnsi"/>
          <w:lang w:eastAsia="en-GB"/>
        </w:rPr>
        <w:t xml:space="preserve"> information </w:t>
      </w:r>
      <w:r>
        <w:rPr>
          <w:rFonts w:eastAsia="Times New Roman" w:cstheme="minorHAnsi"/>
          <w:lang w:eastAsia="en-GB"/>
        </w:rPr>
        <w:t>relating to a DHR:</w:t>
      </w:r>
    </w:p>
    <w:p w14:paraId="2F5D3882" w14:textId="77777777" w:rsidR="00EA2B8E" w:rsidRPr="00EA2B8E" w:rsidRDefault="0097411E" w:rsidP="009F21E6">
      <w:pPr>
        <w:pStyle w:val="ListParagraph"/>
        <w:numPr>
          <w:ilvl w:val="0"/>
          <w:numId w:val="14"/>
        </w:numPr>
        <w:spacing w:after="0" w:line="240" w:lineRule="auto"/>
        <w:rPr>
          <w:rFonts w:eastAsia="Times New Roman" w:cstheme="minorHAnsi"/>
          <w:lang w:eastAsia="en-GB"/>
        </w:rPr>
      </w:pPr>
      <w:r w:rsidRPr="00EA2B8E">
        <w:rPr>
          <w:rFonts w:eastAsia="Times New Roman" w:cstheme="minorHAnsi"/>
          <w:lang w:eastAsia="en-GB"/>
        </w:rPr>
        <w:t>Notification form</w:t>
      </w:r>
    </w:p>
    <w:p w14:paraId="264DA2E1" w14:textId="77777777" w:rsidR="00EA2B8E" w:rsidRPr="00EA2B8E" w:rsidRDefault="00EA2B8E" w:rsidP="009F21E6">
      <w:pPr>
        <w:pStyle w:val="ListParagraph"/>
        <w:numPr>
          <w:ilvl w:val="0"/>
          <w:numId w:val="14"/>
        </w:numPr>
        <w:spacing w:after="0" w:line="240" w:lineRule="auto"/>
        <w:rPr>
          <w:rFonts w:eastAsia="Times New Roman" w:cstheme="minorHAnsi"/>
          <w:lang w:eastAsia="en-GB"/>
        </w:rPr>
      </w:pPr>
      <w:r w:rsidRPr="00EA2B8E">
        <w:rPr>
          <w:rFonts w:eastAsia="Times New Roman" w:cstheme="minorHAnsi"/>
          <w:lang w:eastAsia="en-GB"/>
        </w:rPr>
        <w:lastRenderedPageBreak/>
        <w:t>Chronologies</w:t>
      </w:r>
    </w:p>
    <w:p w14:paraId="0B6E4871" w14:textId="77777777" w:rsidR="00EA2B8E" w:rsidRPr="00EA2B8E" w:rsidRDefault="00EA2B8E" w:rsidP="009F21E6">
      <w:pPr>
        <w:pStyle w:val="ListParagraph"/>
        <w:numPr>
          <w:ilvl w:val="0"/>
          <w:numId w:val="14"/>
        </w:numPr>
        <w:spacing w:after="0" w:line="240" w:lineRule="auto"/>
        <w:rPr>
          <w:rFonts w:eastAsia="Times New Roman" w:cstheme="minorHAnsi"/>
          <w:lang w:eastAsia="en-GB"/>
        </w:rPr>
      </w:pPr>
      <w:r w:rsidRPr="00EA2B8E">
        <w:rPr>
          <w:rFonts w:eastAsia="Times New Roman" w:cstheme="minorHAnsi"/>
          <w:lang w:eastAsia="en-GB"/>
        </w:rPr>
        <w:t>Draft IMRs</w:t>
      </w:r>
    </w:p>
    <w:p w14:paraId="20DDBB18" w14:textId="77777777" w:rsidR="00EA2B8E" w:rsidRPr="00EA2B8E" w:rsidRDefault="00EA2B8E" w:rsidP="009F21E6">
      <w:pPr>
        <w:pStyle w:val="ListParagraph"/>
        <w:numPr>
          <w:ilvl w:val="0"/>
          <w:numId w:val="14"/>
        </w:numPr>
        <w:spacing w:after="0" w:line="240" w:lineRule="auto"/>
        <w:rPr>
          <w:rFonts w:eastAsia="Times New Roman" w:cstheme="minorHAnsi"/>
          <w:lang w:eastAsia="en-GB"/>
        </w:rPr>
      </w:pPr>
      <w:r w:rsidRPr="00EA2B8E">
        <w:rPr>
          <w:rFonts w:eastAsia="Times New Roman" w:cstheme="minorHAnsi"/>
          <w:lang w:eastAsia="en-GB"/>
        </w:rPr>
        <w:t>Agency Narrative/Summary</w:t>
      </w:r>
    </w:p>
    <w:p w14:paraId="755F495A" w14:textId="77777777" w:rsidR="00EA2B8E" w:rsidRPr="00EA2B8E" w:rsidRDefault="00EA2B8E" w:rsidP="009F21E6">
      <w:pPr>
        <w:pStyle w:val="ListParagraph"/>
        <w:numPr>
          <w:ilvl w:val="0"/>
          <w:numId w:val="14"/>
        </w:numPr>
        <w:spacing w:after="0" w:line="240" w:lineRule="auto"/>
        <w:rPr>
          <w:rFonts w:eastAsia="Times New Roman" w:cstheme="minorHAnsi"/>
          <w:lang w:eastAsia="en-GB"/>
        </w:rPr>
      </w:pPr>
      <w:r w:rsidRPr="00EA2B8E">
        <w:rPr>
          <w:rFonts w:eastAsia="Times New Roman" w:cstheme="minorHAnsi"/>
          <w:lang w:eastAsia="en-GB"/>
        </w:rPr>
        <w:t>Draft Overview Reports</w:t>
      </w:r>
    </w:p>
    <w:p w14:paraId="638E0664" w14:textId="77777777" w:rsidR="00EA2B8E" w:rsidRPr="00EA2B8E" w:rsidRDefault="00EA2B8E" w:rsidP="009F21E6">
      <w:pPr>
        <w:pStyle w:val="ListParagraph"/>
        <w:numPr>
          <w:ilvl w:val="0"/>
          <w:numId w:val="14"/>
        </w:numPr>
        <w:spacing w:after="0" w:line="240" w:lineRule="auto"/>
        <w:rPr>
          <w:rFonts w:eastAsia="Times New Roman" w:cstheme="minorHAnsi"/>
          <w:lang w:eastAsia="en-GB"/>
        </w:rPr>
      </w:pPr>
      <w:r w:rsidRPr="00EA2B8E">
        <w:rPr>
          <w:rFonts w:eastAsia="Times New Roman" w:cstheme="minorHAnsi"/>
          <w:lang w:eastAsia="en-GB"/>
        </w:rPr>
        <w:t>Terms of Reference</w:t>
      </w:r>
    </w:p>
    <w:p w14:paraId="5A981E8A" w14:textId="77777777" w:rsidR="00EA2B8E" w:rsidRPr="00EA2B8E" w:rsidRDefault="00EA2B8E" w:rsidP="009F21E6">
      <w:pPr>
        <w:pStyle w:val="ListParagraph"/>
        <w:numPr>
          <w:ilvl w:val="0"/>
          <w:numId w:val="14"/>
        </w:numPr>
        <w:spacing w:after="0" w:line="240" w:lineRule="auto"/>
        <w:rPr>
          <w:rFonts w:eastAsia="Times New Roman" w:cstheme="minorHAnsi"/>
          <w:lang w:eastAsia="en-GB"/>
        </w:rPr>
      </w:pPr>
      <w:r w:rsidRPr="00EA2B8E">
        <w:rPr>
          <w:rFonts w:eastAsia="Times New Roman" w:cstheme="minorHAnsi"/>
          <w:lang w:eastAsia="en-GB"/>
        </w:rPr>
        <w:t>Emails</w:t>
      </w:r>
    </w:p>
    <w:p w14:paraId="18D889C6" w14:textId="77777777" w:rsidR="00EA2B8E" w:rsidRPr="00EA2B8E" w:rsidRDefault="00EA2B8E" w:rsidP="009F21E6">
      <w:pPr>
        <w:pStyle w:val="ListParagraph"/>
        <w:numPr>
          <w:ilvl w:val="0"/>
          <w:numId w:val="14"/>
        </w:numPr>
        <w:spacing w:after="0" w:line="240" w:lineRule="auto"/>
        <w:rPr>
          <w:rFonts w:eastAsia="Times New Roman" w:cstheme="minorHAnsi"/>
          <w:lang w:eastAsia="en-GB"/>
        </w:rPr>
      </w:pPr>
      <w:r w:rsidRPr="00EA2B8E">
        <w:rPr>
          <w:rFonts w:eastAsia="Times New Roman" w:cstheme="minorHAnsi"/>
          <w:lang w:eastAsia="en-GB"/>
        </w:rPr>
        <w:t>Minutes of meetings</w:t>
      </w:r>
    </w:p>
    <w:p w14:paraId="462A2B26" w14:textId="47B13B52" w:rsidR="00C175A2" w:rsidRDefault="00EA2B8E" w:rsidP="00DA0E69">
      <w:pPr>
        <w:spacing w:after="0" w:line="240" w:lineRule="auto"/>
        <w:rPr>
          <w:rFonts w:eastAsia="Times New Roman" w:cstheme="minorHAnsi"/>
          <w:lang w:eastAsia="en-GB"/>
        </w:rPr>
      </w:pPr>
      <w:r>
        <w:rPr>
          <w:rFonts w:eastAsia="Times New Roman" w:cstheme="minorHAnsi"/>
          <w:lang w:eastAsia="en-GB"/>
        </w:rPr>
        <w:t xml:space="preserve">These </w:t>
      </w:r>
      <w:r w:rsidR="00C175A2">
        <w:rPr>
          <w:rFonts w:eastAsia="Times New Roman" w:cstheme="minorHAnsi"/>
          <w:lang w:eastAsia="en-GB"/>
        </w:rPr>
        <w:t xml:space="preserve">will be </w:t>
      </w:r>
      <w:r>
        <w:rPr>
          <w:rFonts w:eastAsia="Times New Roman" w:cstheme="minorHAnsi"/>
          <w:lang w:eastAsia="en-GB"/>
        </w:rPr>
        <w:t>retained</w:t>
      </w:r>
      <w:r w:rsidR="00C175A2">
        <w:rPr>
          <w:rFonts w:eastAsia="Times New Roman" w:cstheme="minorHAnsi"/>
          <w:lang w:eastAsia="en-GB"/>
        </w:rPr>
        <w:t xml:space="preserve"> for</w:t>
      </w:r>
      <w:r>
        <w:rPr>
          <w:rFonts w:eastAsia="Times New Roman" w:cstheme="minorHAnsi"/>
          <w:lang w:eastAsia="en-GB"/>
        </w:rPr>
        <w:t xml:space="preserve"> a period of </w:t>
      </w:r>
      <w:r w:rsidR="009E20E1">
        <w:rPr>
          <w:rFonts w:eastAsia="Times New Roman" w:cstheme="minorHAnsi"/>
          <w:lang w:eastAsia="en-GB"/>
        </w:rPr>
        <w:t>5</w:t>
      </w:r>
      <w:r>
        <w:rPr>
          <w:rFonts w:eastAsia="Times New Roman" w:cstheme="minorHAnsi"/>
          <w:lang w:eastAsia="en-GB"/>
        </w:rPr>
        <w:t xml:space="preserve"> year after the publication date.</w:t>
      </w:r>
    </w:p>
    <w:p w14:paraId="5AC62FD0" w14:textId="77777777" w:rsidR="00EA2B8E" w:rsidRDefault="00EA2B8E" w:rsidP="00DA0E69">
      <w:pPr>
        <w:spacing w:after="0" w:line="240" w:lineRule="auto"/>
        <w:rPr>
          <w:rFonts w:eastAsia="Times New Roman" w:cstheme="minorHAnsi"/>
          <w:lang w:eastAsia="en-GB"/>
        </w:rPr>
      </w:pPr>
    </w:p>
    <w:p w14:paraId="32ED96D1" w14:textId="6483F2FA" w:rsidR="001B0460" w:rsidRPr="00DA62F7" w:rsidRDefault="00067870" w:rsidP="001B0460">
      <w:pPr>
        <w:spacing w:after="0" w:line="240" w:lineRule="auto"/>
        <w:rPr>
          <w:rFonts w:eastAsia="Times New Roman" w:cstheme="minorHAnsi"/>
          <w:b/>
          <w:caps/>
          <w:u w:val="single"/>
          <w:lang w:eastAsia="en-GB"/>
        </w:rPr>
      </w:pPr>
      <w:r>
        <w:rPr>
          <w:rFonts w:eastAsia="Times New Roman" w:cstheme="minorHAnsi"/>
          <w:b/>
          <w:caps/>
          <w:u w:val="single"/>
          <w:lang w:eastAsia="en-GB"/>
        </w:rPr>
        <w:t>1</w:t>
      </w:r>
      <w:r w:rsidR="009E5FB4">
        <w:rPr>
          <w:rFonts w:eastAsia="Times New Roman" w:cstheme="minorHAnsi"/>
          <w:b/>
          <w:caps/>
          <w:u w:val="single"/>
          <w:lang w:eastAsia="en-GB"/>
        </w:rPr>
        <w:t>6</w:t>
      </w:r>
      <w:r w:rsidR="00DA62F7" w:rsidRPr="00DA62F7">
        <w:rPr>
          <w:rFonts w:eastAsia="Times New Roman" w:cstheme="minorHAnsi"/>
          <w:b/>
          <w:caps/>
          <w:u w:val="single"/>
          <w:lang w:eastAsia="en-GB"/>
        </w:rPr>
        <w:t xml:space="preserve">. </w:t>
      </w:r>
      <w:bookmarkStart w:id="14" w:name="SampleTemplates"/>
      <w:r w:rsidR="00DD1FDE">
        <w:rPr>
          <w:rFonts w:eastAsia="Times New Roman" w:cstheme="minorHAnsi"/>
          <w:b/>
          <w:caps/>
          <w:u w:val="single"/>
          <w:lang w:eastAsia="en-GB"/>
        </w:rPr>
        <w:t>Sample Templates</w:t>
      </w:r>
      <w:bookmarkEnd w:id="14"/>
      <w:r w:rsidR="001B0460" w:rsidRPr="00DA62F7">
        <w:rPr>
          <w:rFonts w:eastAsia="Times New Roman" w:cstheme="minorHAnsi"/>
          <w:b/>
          <w:caps/>
          <w:u w:val="single"/>
          <w:lang w:eastAsia="en-GB"/>
        </w:rPr>
        <w:t>:</w:t>
      </w:r>
    </w:p>
    <w:p w14:paraId="5FBF9D40" w14:textId="77777777" w:rsidR="001B0460" w:rsidRPr="001B0460" w:rsidRDefault="001B0460" w:rsidP="001B0460">
      <w:pPr>
        <w:spacing w:after="0" w:line="240" w:lineRule="auto"/>
        <w:rPr>
          <w:rFonts w:eastAsia="Times New Roman" w:cstheme="minorHAnsi"/>
          <w:lang w:eastAsia="en-GB"/>
        </w:rPr>
      </w:pPr>
    </w:p>
    <w:p w14:paraId="55008B79" w14:textId="5ABAD298" w:rsidR="000D79DC" w:rsidRDefault="00067870" w:rsidP="000D79DC">
      <w:pPr>
        <w:spacing w:after="0" w:line="240" w:lineRule="auto"/>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6</w:t>
      </w:r>
      <w:r w:rsidR="000D79DC">
        <w:rPr>
          <w:rFonts w:eastAsia="Times New Roman" w:cstheme="minorHAnsi"/>
          <w:lang w:eastAsia="en-GB"/>
        </w:rPr>
        <w:t xml:space="preserve">.1 </w:t>
      </w:r>
      <w:r w:rsidR="001B0460" w:rsidRPr="001B0460">
        <w:rPr>
          <w:rFonts w:eastAsia="Times New Roman" w:cstheme="minorHAnsi"/>
          <w:lang w:eastAsia="en-GB"/>
        </w:rPr>
        <w:t>In this Protocol we have supplied templates:</w:t>
      </w:r>
      <w:r w:rsidR="000D79DC" w:rsidRPr="000D79DC">
        <w:rPr>
          <w:rFonts w:eastAsia="Times New Roman" w:cstheme="minorHAnsi"/>
          <w:lang w:eastAsia="en-GB"/>
        </w:rPr>
        <w:t xml:space="preserve"> </w:t>
      </w:r>
      <w:r w:rsidR="000D79DC">
        <w:rPr>
          <w:rFonts w:eastAsia="Times New Roman" w:cstheme="minorHAnsi"/>
          <w:lang w:eastAsia="en-GB"/>
        </w:rPr>
        <w:t>[All i</w:t>
      </w:r>
      <w:r w:rsidR="000D79DC" w:rsidRPr="001B0460">
        <w:rPr>
          <w:rFonts w:eastAsia="Times New Roman" w:cstheme="minorHAnsi"/>
          <w:lang w:eastAsia="en-GB"/>
        </w:rPr>
        <w:t xml:space="preserve">n line with the </w:t>
      </w:r>
      <w:hyperlink r:id="rId25" w:history="1">
        <w:r w:rsidR="000D79DC" w:rsidRPr="00DA62F7">
          <w:rPr>
            <w:rStyle w:val="Hyperlink"/>
            <w:rFonts w:eastAsia="Times New Roman" w:cstheme="minorHAnsi"/>
            <w:lang w:eastAsia="en-GB"/>
          </w:rPr>
          <w:t>Home Office DHR Guidance</w:t>
        </w:r>
      </w:hyperlink>
      <w:r w:rsidR="000D79DC" w:rsidRPr="001B0460">
        <w:rPr>
          <w:rFonts w:eastAsia="Times New Roman" w:cstheme="minorHAnsi"/>
          <w:lang w:eastAsia="en-GB"/>
        </w:rPr>
        <w:t xml:space="preserve"> and </w:t>
      </w:r>
      <w:r w:rsidR="000D79DC">
        <w:rPr>
          <w:rFonts w:eastAsia="Times New Roman" w:cstheme="minorHAnsi"/>
          <w:lang w:eastAsia="en-GB"/>
        </w:rPr>
        <w:t xml:space="preserve">with </w:t>
      </w:r>
      <w:r w:rsidR="000D79DC" w:rsidRPr="001B0460">
        <w:rPr>
          <w:rFonts w:eastAsia="Times New Roman" w:cstheme="minorHAnsi"/>
          <w:lang w:eastAsia="en-GB"/>
        </w:rPr>
        <w:t>what has worked best in Lincolnshire for current DHRs.</w:t>
      </w:r>
      <w:r w:rsidR="000D79DC">
        <w:rPr>
          <w:rFonts w:eastAsia="Times New Roman" w:cstheme="minorHAnsi"/>
          <w:lang w:eastAsia="en-GB"/>
        </w:rPr>
        <w:t>]</w:t>
      </w:r>
      <w:r w:rsidR="000D79DC" w:rsidRPr="00DA62F7">
        <w:rPr>
          <w:rFonts w:eastAsia="Times New Roman" w:cstheme="minorHAnsi"/>
          <w:lang w:eastAsia="en-GB"/>
        </w:rPr>
        <w:t xml:space="preserve"> </w:t>
      </w:r>
    </w:p>
    <w:p w14:paraId="10F37807" w14:textId="726FBB55" w:rsidR="001B0460" w:rsidRPr="000D79DC" w:rsidRDefault="000D79DC" w:rsidP="001B0460">
      <w:pPr>
        <w:spacing w:after="0" w:line="240" w:lineRule="auto"/>
        <w:rPr>
          <w:rFonts w:eastAsia="Times New Roman" w:cstheme="minorHAnsi"/>
          <w:color w:val="FF0000"/>
          <w:lang w:eastAsia="en-GB"/>
        </w:rPr>
      </w:pPr>
      <w:r>
        <w:rPr>
          <w:rFonts w:eastAsia="Times New Roman" w:cstheme="minorHAnsi"/>
          <w:lang w:eastAsia="en-GB"/>
        </w:rPr>
        <w:t xml:space="preserve">All are available to download from </w:t>
      </w:r>
      <w:hyperlink r:id="rId26" w:history="1">
        <w:r w:rsidR="00FC2D18">
          <w:rPr>
            <w:rStyle w:val="Hyperlink"/>
            <w:rFonts w:eastAsia="Times New Roman" w:cstheme="minorHAnsi"/>
            <w:lang w:eastAsia="en-GB"/>
          </w:rPr>
          <w:t>the</w:t>
        </w:r>
      </w:hyperlink>
      <w:r w:rsidR="00FC2D18">
        <w:rPr>
          <w:rStyle w:val="Hyperlink"/>
          <w:rFonts w:eastAsia="Times New Roman" w:cstheme="minorHAnsi"/>
          <w:lang w:eastAsia="en-GB"/>
        </w:rPr>
        <w:t xml:space="preserve"> </w:t>
      </w:r>
      <w:hyperlink r:id="rId27" w:history="1">
        <w:r w:rsidR="00FC2D18" w:rsidRPr="008C51D9">
          <w:rPr>
            <w:rStyle w:val="Hyperlink"/>
            <w:rFonts w:eastAsia="Times New Roman" w:cstheme="minorHAnsi"/>
            <w:lang w:eastAsia="en-GB"/>
          </w:rPr>
          <w:t>Professionals Hub</w:t>
        </w:r>
      </w:hyperlink>
    </w:p>
    <w:p w14:paraId="0C7B0934" w14:textId="2BD82A28" w:rsidR="00C611EE" w:rsidRPr="000D79DC" w:rsidDel="00DA62F7" w:rsidRDefault="00C611EE" w:rsidP="00C611EE">
      <w:pPr>
        <w:pStyle w:val="ListParagraph"/>
        <w:numPr>
          <w:ilvl w:val="0"/>
          <w:numId w:val="12"/>
        </w:numPr>
        <w:spacing w:after="0" w:line="240" w:lineRule="auto"/>
        <w:rPr>
          <w:rFonts w:eastAsia="Times New Roman" w:cstheme="minorHAnsi"/>
          <w:lang w:eastAsia="en-GB"/>
        </w:rPr>
      </w:pPr>
      <w:r>
        <w:rPr>
          <w:rFonts w:eastAsia="Times New Roman" w:cstheme="minorHAnsi"/>
          <w:lang w:eastAsia="en-GB"/>
        </w:rPr>
        <w:t>Agency Narrative/Summary</w:t>
      </w:r>
      <w:r w:rsidR="00045289">
        <w:rPr>
          <w:rFonts w:eastAsia="Times New Roman" w:cstheme="minorHAnsi"/>
          <w:lang w:eastAsia="en-GB"/>
        </w:rPr>
        <w:t xml:space="preserve"> Template</w:t>
      </w:r>
    </w:p>
    <w:p w14:paraId="11C6DE4E" w14:textId="299E4A57" w:rsidR="00045289" w:rsidRPr="000D79DC" w:rsidRDefault="00045289" w:rsidP="00045289">
      <w:pPr>
        <w:pStyle w:val="ListParagraph"/>
        <w:numPr>
          <w:ilvl w:val="0"/>
          <w:numId w:val="12"/>
        </w:numPr>
        <w:spacing w:after="0" w:line="240" w:lineRule="auto"/>
        <w:rPr>
          <w:rFonts w:eastAsia="Times New Roman" w:cstheme="minorHAnsi"/>
          <w:lang w:eastAsia="en-GB"/>
        </w:rPr>
      </w:pPr>
      <w:r>
        <w:rPr>
          <w:rFonts w:eastAsia="Times New Roman" w:cstheme="minorHAnsi"/>
          <w:lang w:eastAsia="en-GB"/>
        </w:rPr>
        <w:t xml:space="preserve">DHR </w:t>
      </w:r>
      <w:r w:rsidRPr="000D79DC">
        <w:rPr>
          <w:rFonts w:eastAsia="Times New Roman" w:cstheme="minorHAnsi"/>
          <w:lang w:eastAsia="en-GB"/>
        </w:rPr>
        <w:t xml:space="preserve">Action Plan </w:t>
      </w:r>
      <w:r>
        <w:rPr>
          <w:rFonts w:eastAsia="Times New Roman" w:cstheme="minorHAnsi"/>
          <w:lang w:eastAsia="en-GB"/>
        </w:rPr>
        <w:t>Template</w:t>
      </w:r>
    </w:p>
    <w:p w14:paraId="734590AB" w14:textId="241CAEF9" w:rsidR="00F906DD" w:rsidRDefault="00F906DD" w:rsidP="00F906DD">
      <w:pPr>
        <w:pStyle w:val="ListParagraph"/>
        <w:numPr>
          <w:ilvl w:val="0"/>
          <w:numId w:val="12"/>
        </w:numPr>
        <w:spacing w:after="0" w:line="240" w:lineRule="auto"/>
        <w:rPr>
          <w:rFonts w:eastAsia="Times New Roman" w:cstheme="minorHAnsi"/>
          <w:lang w:eastAsia="en-GB"/>
        </w:rPr>
      </w:pPr>
      <w:r>
        <w:rPr>
          <w:rFonts w:eastAsia="Times New Roman" w:cstheme="minorHAnsi"/>
          <w:lang w:eastAsia="en-GB"/>
        </w:rPr>
        <w:t>DHR</w:t>
      </w:r>
      <w:r w:rsidR="00BF238D">
        <w:rPr>
          <w:rFonts w:eastAsia="Times New Roman" w:cstheme="minorHAnsi"/>
          <w:lang w:eastAsia="en-GB"/>
        </w:rPr>
        <w:t xml:space="preserve"> </w:t>
      </w:r>
      <w:r w:rsidRPr="000D79DC">
        <w:rPr>
          <w:rFonts w:eastAsia="Times New Roman" w:cstheme="minorHAnsi"/>
          <w:lang w:eastAsia="en-GB"/>
        </w:rPr>
        <w:t xml:space="preserve">Flowchart </w:t>
      </w:r>
      <w:r>
        <w:rPr>
          <w:rFonts w:eastAsia="Times New Roman" w:cstheme="minorHAnsi"/>
          <w:lang w:eastAsia="en-GB"/>
        </w:rPr>
        <w:t>for Partners</w:t>
      </w:r>
    </w:p>
    <w:p w14:paraId="67505A90" w14:textId="26E376F4" w:rsidR="00A16EF7" w:rsidRPr="000D79DC" w:rsidRDefault="00A56209" w:rsidP="009F21E6">
      <w:pPr>
        <w:pStyle w:val="ListParagraph"/>
        <w:numPr>
          <w:ilvl w:val="0"/>
          <w:numId w:val="12"/>
        </w:numPr>
        <w:spacing w:after="0" w:line="240" w:lineRule="auto"/>
        <w:rPr>
          <w:rFonts w:eastAsia="Times New Roman" w:cstheme="minorHAnsi"/>
          <w:lang w:eastAsia="en-GB"/>
        </w:rPr>
      </w:pPr>
      <w:r>
        <w:rPr>
          <w:rFonts w:eastAsia="Times New Roman" w:cstheme="minorHAnsi"/>
          <w:lang w:eastAsia="en-GB"/>
        </w:rPr>
        <w:t xml:space="preserve">DHR &amp; DA Learning Review </w:t>
      </w:r>
      <w:r w:rsidR="00A16EF7" w:rsidRPr="000D79DC">
        <w:rPr>
          <w:rFonts w:eastAsia="Times New Roman" w:cstheme="minorHAnsi"/>
          <w:lang w:eastAsia="en-GB"/>
        </w:rPr>
        <w:t xml:space="preserve">Notification form </w:t>
      </w:r>
    </w:p>
    <w:p w14:paraId="10AF4518" w14:textId="3E9F303A" w:rsidR="001B0460" w:rsidRDefault="00606436" w:rsidP="009F21E6">
      <w:pPr>
        <w:pStyle w:val="ListParagraph"/>
        <w:numPr>
          <w:ilvl w:val="0"/>
          <w:numId w:val="12"/>
        </w:numPr>
        <w:spacing w:after="0" w:line="240" w:lineRule="auto"/>
        <w:rPr>
          <w:rFonts w:eastAsia="Times New Roman" w:cstheme="minorHAnsi"/>
          <w:lang w:eastAsia="en-GB"/>
        </w:rPr>
      </w:pPr>
      <w:r>
        <w:rPr>
          <w:rFonts w:eastAsia="Times New Roman" w:cstheme="minorHAnsi"/>
          <w:lang w:eastAsia="en-GB"/>
        </w:rPr>
        <w:t xml:space="preserve">DHR </w:t>
      </w:r>
      <w:r w:rsidR="00A16EF7" w:rsidRPr="000D79DC">
        <w:rPr>
          <w:rFonts w:eastAsia="Times New Roman" w:cstheme="minorHAnsi"/>
          <w:lang w:eastAsia="en-GB"/>
        </w:rPr>
        <w:t xml:space="preserve">Terms of Reference </w:t>
      </w:r>
    </w:p>
    <w:p w14:paraId="3C9C3EBC" w14:textId="7AD5B667" w:rsidR="00012CCF" w:rsidRPr="000D79DC" w:rsidRDefault="00012CCF" w:rsidP="009F21E6">
      <w:pPr>
        <w:pStyle w:val="ListParagraph"/>
        <w:numPr>
          <w:ilvl w:val="0"/>
          <w:numId w:val="12"/>
        </w:numPr>
        <w:spacing w:after="0" w:line="240" w:lineRule="auto"/>
        <w:rPr>
          <w:rFonts w:eastAsia="Times New Roman" w:cstheme="minorHAnsi"/>
          <w:lang w:eastAsia="en-GB"/>
        </w:rPr>
      </w:pPr>
      <w:r>
        <w:rPr>
          <w:rFonts w:eastAsia="Times New Roman" w:cstheme="minorHAnsi"/>
          <w:lang w:eastAsia="en-GB"/>
        </w:rPr>
        <w:t>Domestic Abuse Learning Review Template</w:t>
      </w:r>
    </w:p>
    <w:p w14:paraId="2EFA6A15" w14:textId="4372AB7B" w:rsidR="000D79DC" w:rsidRDefault="000D79DC" w:rsidP="009F21E6">
      <w:pPr>
        <w:pStyle w:val="ListParagraph"/>
        <w:numPr>
          <w:ilvl w:val="0"/>
          <w:numId w:val="12"/>
        </w:numPr>
        <w:spacing w:after="0" w:line="240" w:lineRule="auto"/>
        <w:rPr>
          <w:rFonts w:eastAsia="Times New Roman" w:cstheme="minorHAnsi"/>
          <w:lang w:eastAsia="en-GB"/>
        </w:rPr>
      </w:pPr>
      <w:r w:rsidRPr="000D79DC" w:rsidDel="00DA62F7">
        <w:rPr>
          <w:rFonts w:eastAsia="Times New Roman" w:cstheme="minorHAnsi"/>
          <w:lang w:eastAsia="en-GB"/>
        </w:rPr>
        <w:t>IMR</w:t>
      </w:r>
      <w:r w:rsidR="00BF238D">
        <w:rPr>
          <w:rFonts w:eastAsia="Times New Roman" w:cstheme="minorHAnsi"/>
          <w:lang w:eastAsia="en-GB"/>
        </w:rPr>
        <w:t xml:space="preserve"> Template</w:t>
      </w:r>
    </w:p>
    <w:p w14:paraId="4E23D82E" w14:textId="31FF264F" w:rsidR="00665C8C" w:rsidRPr="000D79DC" w:rsidRDefault="00665C8C" w:rsidP="009F21E6">
      <w:pPr>
        <w:pStyle w:val="ListParagraph"/>
        <w:numPr>
          <w:ilvl w:val="0"/>
          <w:numId w:val="12"/>
        </w:numPr>
        <w:spacing w:after="0" w:line="240" w:lineRule="auto"/>
        <w:rPr>
          <w:rFonts w:eastAsia="Times New Roman" w:cstheme="minorHAnsi"/>
          <w:lang w:eastAsia="en-GB"/>
        </w:rPr>
      </w:pPr>
      <w:r>
        <w:rPr>
          <w:rFonts w:eastAsia="Times New Roman" w:cstheme="minorHAnsi"/>
          <w:lang w:eastAsia="en-GB"/>
        </w:rPr>
        <w:t>Out of County Information Requests Flowchart</w:t>
      </w:r>
    </w:p>
    <w:p w14:paraId="198A35FD" w14:textId="77777777" w:rsidR="000D79DC" w:rsidRDefault="000D79DC" w:rsidP="000D79DC">
      <w:pPr>
        <w:spacing w:after="0" w:line="240" w:lineRule="auto"/>
        <w:rPr>
          <w:rFonts w:eastAsia="Times New Roman" w:cstheme="minorHAnsi"/>
          <w:lang w:eastAsia="en-GB"/>
        </w:rPr>
      </w:pPr>
    </w:p>
    <w:p w14:paraId="6645E833" w14:textId="1C9EC215" w:rsidR="000D79DC" w:rsidRPr="001B0460" w:rsidRDefault="00067870" w:rsidP="000D79DC">
      <w:pPr>
        <w:spacing w:after="0" w:line="240" w:lineRule="auto"/>
        <w:rPr>
          <w:rFonts w:eastAsia="Times New Roman" w:cstheme="minorHAnsi"/>
          <w:lang w:eastAsia="en-GB"/>
        </w:rPr>
      </w:pPr>
      <w:r>
        <w:rPr>
          <w:rFonts w:eastAsia="Times New Roman" w:cstheme="minorHAnsi"/>
          <w:lang w:eastAsia="en-GB"/>
        </w:rPr>
        <w:t>1</w:t>
      </w:r>
      <w:r w:rsidR="009E5FB4">
        <w:rPr>
          <w:rFonts w:eastAsia="Times New Roman" w:cstheme="minorHAnsi"/>
          <w:lang w:eastAsia="en-GB"/>
        </w:rPr>
        <w:t>6</w:t>
      </w:r>
      <w:r w:rsidR="000D79DC">
        <w:rPr>
          <w:rFonts w:eastAsia="Times New Roman" w:cstheme="minorHAnsi"/>
          <w:lang w:eastAsia="en-GB"/>
        </w:rPr>
        <w:t xml:space="preserve">.2 </w:t>
      </w:r>
      <w:r w:rsidR="00DA0E69">
        <w:rPr>
          <w:rFonts w:eastAsia="Times New Roman" w:cstheme="minorHAnsi"/>
          <w:lang w:eastAsia="en-GB"/>
        </w:rPr>
        <w:t>These are also</w:t>
      </w:r>
      <w:r w:rsidR="000D79DC" w:rsidRPr="001B0460">
        <w:rPr>
          <w:rFonts w:eastAsia="Times New Roman" w:cstheme="minorHAnsi"/>
          <w:lang w:eastAsia="en-GB"/>
        </w:rPr>
        <w:t xml:space="preserve"> available in the </w:t>
      </w:r>
      <w:hyperlink r:id="rId28" w:history="1">
        <w:r w:rsidR="000D79DC" w:rsidRPr="001B0460">
          <w:rPr>
            <w:rFonts w:eastAsia="Times New Roman" w:cstheme="minorHAnsi"/>
            <w:u w:val="single"/>
            <w:lang w:eastAsia="en-GB"/>
          </w:rPr>
          <w:t>Home Office DHR Guidance</w:t>
        </w:r>
      </w:hyperlink>
      <w:r w:rsidR="000D79DC" w:rsidRPr="001B0460">
        <w:rPr>
          <w:rFonts w:eastAsia="Times New Roman" w:cstheme="minorHAnsi"/>
          <w:lang w:eastAsia="en-GB"/>
        </w:rPr>
        <w:t>.</w:t>
      </w:r>
    </w:p>
    <w:p w14:paraId="22E9DCB2" w14:textId="77777777" w:rsidR="000D79DC" w:rsidRPr="009F21E6" w:rsidDel="00DA62F7" w:rsidRDefault="000D79DC" w:rsidP="009F21E6">
      <w:pPr>
        <w:pStyle w:val="ListParagraph"/>
        <w:numPr>
          <w:ilvl w:val="0"/>
          <w:numId w:val="24"/>
        </w:numPr>
        <w:spacing w:after="0" w:line="240" w:lineRule="auto"/>
        <w:rPr>
          <w:rFonts w:eastAsia="Times New Roman" w:cstheme="minorHAnsi"/>
          <w:lang w:eastAsia="en-GB"/>
        </w:rPr>
      </w:pPr>
      <w:r w:rsidRPr="009F21E6" w:rsidDel="00DA62F7">
        <w:rPr>
          <w:rFonts w:eastAsia="Times New Roman" w:cstheme="minorHAnsi"/>
          <w:lang w:eastAsia="en-GB"/>
        </w:rPr>
        <w:t>Overview Reports</w:t>
      </w:r>
    </w:p>
    <w:p w14:paraId="00C46F49" w14:textId="77777777" w:rsidR="000D79DC" w:rsidRPr="009F21E6" w:rsidDel="00DA62F7" w:rsidRDefault="000D79DC" w:rsidP="009F21E6">
      <w:pPr>
        <w:pStyle w:val="ListParagraph"/>
        <w:numPr>
          <w:ilvl w:val="0"/>
          <w:numId w:val="24"/>
        </w:numPr>
        <w:spacing w:after="0" w:line="240" w:lineRule="auto"/>
        <w:rPr>
          <w:rFonts w:eastAsia="Times New Roman" w:cstheme="minorHAnsi"/>
          <w:lang w:eastAsia="en-GB"/>
        </w:rPr>
      </w:pPr>
      <w:r w:rsidRPr="009F21E6" w:rsidDel="00DA62F7">
        <w:rPr>
          <w:rFonts w:eastAsia="Times New Roman" w:cstheme="minorHAnsi"/>
          <w:lang w:eastAsia="en-GB"/>
        </w:rPr>
        <w:t>Executive Summaries</w:t>
      </w:r>
    </w:p>
    <w:p w14:paraId="0AEDF61A" w14:textId="77777777" w:rsidR="00CB22D6" w:rsidRPr="000D79DC" w:rsidRDefault="00CB22D6" w:rsidP="000D79DC">
      <w:pPr>
        <w:spacing w:after="0" w:line="240" w:lineRule="auto"/>
        <w:rPr>
          <w:rFonts w:eastAsia="Times New Roman" w:cstheme="minorHAnsi"/>
          <w:lang w:eastAsia="en-GB"/>
        </w:rPr>
      </w:pPr>
    </w:p>
    <w:sectPr w:rsidR="00CB22D6" w:rsidRPr="000D79DC" w:rsidSect="00FE1577">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78F1" w14:textId="77777777" w:rsidR="00D559D5" w:rsidRDefault="00D559D5" w:rsidP="004A6BF2">
      <w:pPr>
        <w:spacing w:after="0" w:line="240" w:lineRule="auto"/>
      </w:pPr>
      <w:r>
        <w:separator/>
      </w:r>
    </w:p>
  </w:endnote>
  <w:endnote w:type="continuationSeparator" w:id="0">
    <w:p w14:paraId="5BAC10B8" w14:textId="77777777" w:rsidR="00D559D5" w:rsidRDefault="00D559D5" w:rsidP="004A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11F5A" w14:paraId="3FAF97C0" w14:textId="77777777">
      <w:tc>
        <w:tcPr>
          <w:tcW w:w="918" w:type="dxa"/>
        </w:tcPr>
        <w:p w14:paraId="4907C68A" w14:textId="77777777" w:rsidR="00B11F5A" w:rsidRDefault="00B11F5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6561F" w:rsidRPr="0016561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A587C91" w14:textId="53A7EA84" w:rsidR="00B11F5A" w:rsidRDefault="00B11F5A" w:rsidP="00135B05">
          <w:pPr>
            <w:pStyle w:val="Footer"/>
            <w:tabs>
              <w:tab w:val="left" w:pos="4740"/>
              <w:tab w:val="right" w:pos="8068"/>
            </w:tabs>
            <w:spacing w:before="240"/>
          </w:pPr>
          <w:r>
            <w:tab/>
          </w:r>
          <w:r>
            <w:tab/>
          </w:r>
          <w:r>
            <w:tab/>
          </w:r>
          <w:r w:rsidR="009C181C">
            <w:t>June</w:t>
          </w:r>
          <w:r>
            <w:t xml:space="preserve"> 2023 V</w:t>
          </w:r>
          <w:r w:rsidR="005C334B">
            <w:t>4</w:t>
          </w:r>
        </w:p>
      </w:tc>
    </w:tr>
  </w:tbl>
  <w:p w14:paraId="4E5D68C1" w14:textId="77777777" w:rsidR="00B11F5A" w:rsidRDefault="00B1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82B1" w14:textId="77777777" w:rsidR="00D559D5" w:rsidRDefault="00D559D5" w:rsidP="004A6BF2">
      <w:pPr>
        <w:spacing w:after="0" w:line="240" w:lineRule="auto"/>
      </w:pPr>
      <w:r>
        <w:separator/>
      </w:r>
    </w:p>
  </w:footnote>
  <w:footnote w:type="continuationSeparator" w:id="0">
    <w:p w14:paraId="613EFF32" w14:textId="77777777" w:rsidR="00D559D5" w:rsidRDefault="00D559D5" w:rsidP="004A6BF2">
      <w:pPr>
        <w:spacing w:after="0" w:line="240" w:lineRule="auto"/>
      </w:pPr>
      <w:r>
        <w:continuationSeparator/>
      </w:r>
    </w:p>
  </w:footnote>
  <w:footnote w:id="1">
    <w:p w14:paraId="58C38D1B" w14:textId="77777777" w:rsidR="00B11F5A" w:rsidRDefault="00B11F5A">
      <w:pPr>
        <w:pStyle w:val="FootnoteText"/>
      </w:pPr>
      <w:r>
        <w:rPr>
          <w:rStyle w:val="FootnoteReference"/>
        </w:rPr>
        <w:footnoteRef/>
      </w:r>
      <w:r>
        <w:t xml:space="preserve"> </w:t>
      </w:r>
      <w:r w:rsidRPr="00D309CC">
        <w:t>The role of the Review Panel</w:t>
      </w:r>
      <w:r>
        <w:t xml:space="preserve">, and </w:t>
      </w:r>
      <w:r w:rsidRPr="00D309CC">
        <w:t>Independent Overview Author</w:t>
      </w:r>
      <w:r>
        <w:t xml:space="preserve"> and chair are referred to under Section 6 and 7</w:t>
      </w:r>
      <w:r w:rsidRPr="00D309CC">
        <w:t xml:space="preserve"> of the </w:t>
      </w:r>
      <w:proofErr w:type="gramStart"/>
      <w:r w:rsidRPr="00D309CC">
        <w:t>protocol</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21E"/>
    <w:multiLevelType w:val="hybridMultilevel"/>
    <w:tmpl w:val="4476C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E5EC5"/>
    <w:multiLevelType w:val="multilevel"/>
    <w:tmpl w:val="D76CF8A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CD53FC"/>
    <w:multiLevelType w:val="hybridMultilevel"/>
    <w:tmpl w:val="63A0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820B6"/>
    <w:multiLevelType w:val="hybridMultilevel"/>
    <w:tmpl w:val="53C6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62A1C"/>
    <w:multiLevelType w:val="hybridMultilevel"/>
    <w:tmpl w:val="3D463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B7833"/>
    <w:multiLevelType w:val="hybridMultilevel"/>
    <w:tmpl w:val="27EC0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4A015B"/>
    <w:multiLevelType w:val="hybridMultilevel"/>
    <w:tmpl w:val="3EFE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B6A1E"/>
    <w:multiLevelType w:val="hybridMultilevel"/>
    <w:tmpl w:val="5C72071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EA67FF"/>
    <w:multiLevelType w:val="hybridMultilevel"/>
    <w:tmpl w:val="F4703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681A17"/>
    <w:multiLevelType w:val="hybridMultilevel"/>
    <w:tmpl w:val="531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E206E"/>
    <w:multiLevelType w:val="hybridMultilevel"/>
    <w:tmpl w:val="A5BCAD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ED0733F"/>
    <w:multiLevelType w:val="hybridMultilevel"/>
    <w:tmpl w:val="1B1A3E1A"/>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start w:val="1"/>
      <w:numFmt w:val="bullet"/>
      <w:lvlText w:val=""/>
      <w:lvlJc w:val="left"/>
      <w:pPr>
        <w:ind w:left="2174" w:hanging="360"/>
      </w:pPr>
      <w:rPr>
        <w:rFonts w:ascii="Wingdings" w:hAnsi="Wingdings" w:hint="default"/>
      </w:rPr>
    </w:lvl>
    <w:lvl w:ilvl="3" w:tplc="0809000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2" w15:restartNumberingAfterBreak="0">
    <w:nsid w:val="46AC7318"/>
    <w:multiLevelType w:val="hybridMultilevel"/>
    <w:tmpl w:val="7D5244CA"/>
    <w:lvl w:ilvl="0" w:tplc="08090001">
      <w:start w:val="1"/>
      <w:numFmt w:val="bullet"/>
      <w:lvlText w:val=""/>
      <w:lvlJc w:val="left"/>
      <w:pPr>
        <w:ind w:left="722" w:hanging="360"/>
      </w:pPr>
      <w:rPr>
        <w:rFonts w:ascii="Symbol" w:hAnsi="Symbol"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3" w15:restartNumberingAfterBreak="0">
    <w:nsid w:val="49FF6ECC"/>
    <w:multiLevelType w:val="hybridMultilevel"/>
    <w:tmpl w:val="9B1296A0"/>
    <w:lvl w:ilvl="0" w:tplc="08090001">
      <w:start w:val="1"/>
      <w:numFmt w:val="bullet"/>
      <w:lvlText w:val=""/>
      <w:lvlJc w:val="left"/>
      <w:pPr>
        <w:ind w:left="721" w:hanging="360"/>
      </w:pPr>
      <w:rPr>
        <w:rFonts w:ascii="Symbol" w:hAnsi="Symbol"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4" w15:restartNumberingAfterBreak="0">
    <w:nsid w:val="4CC44D3F"/>
    <w:multiLevelType w:val="hybridMultilevel"/>
    <w:tmpl w:val="07F2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B77DE"/>
    <w:multiLevelType w:val="hybridMultilevel"/>
    <w:tmpl w:val="902A4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8A74D2"/>
    <w:multiLevelType w:val="hybridMultilevel"/>
    <w:tmpl w:val="EF3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92FEF"/>
    <w:multiLevelType w:val="hybridMultilevel"/>
    <w:tmpl w:val="4A5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A311F"/>
    <w:multiLevelType w:val="hybridMultilevel"/>
    <w:tmpl w:val="3686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66464"/>
    <w:multiLevelType w:val="hybridMultilevel"/>
    <w:tmpl w:val="1714D908"/>
    <w:lvl w:ilvl="0" w:tplc="08090015">
      <w:start w:val="1"/>
      <w:numFmt w:val="upp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0" w15:restartNumberingAfterBreak="0">
    <w:nsid w:val="64A31132"/>
    <w:multiLevelType w:val="multilevel"/>
    <w:tmpl w:val="CCFC662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2A0C6F"/>
    <w:multiLevelType w:val="hybridMultilevel"/>
    <w:tmpl w:val="71F42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F6E23"/>
    <w:multiLevelType w:val="hybridMultilevel"/>
    <w:tmpl w:val="0A1C3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4A7D86"/>
    <w:multiLevelType w:val="hybridMultilevel"/>
    <w:tmpl w:val="7F5AFCCC"/>
    <w:lvl w:ilvl="0" w:tplc="08090017">
      <w:start w:val="1"/>
      <w:numFmt w:val="lowerLetter"/>
      <w:lvlText w:val="%1)"/>
      <w:lvlJc w:val="left"/>
      <w:pPr>
        <w:ind w:left="722" w:hanging="360"/>
      </w:p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24" w15:restartNumberingAfterBreak="0">
    <w:nsid w:val="7CB1714D"/>
    <w:multiLevelType w:val="multilevel"/>
    <w:tmpl w:val="DF961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E7B091A"/>
    <w:multiLevelType w:val="hybridMultilevel"/>
    <w:tmpl w:val="B596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095159">
    <w:abstractNumId w:val="16"/>
  </w:num>
  <w:num w:numId="2" w16cid:durableId="1278366869">
    <w:abstractNumId w:val="3"/>
  </w:num>
  <w:num w:numId="3" w16cid:durableId="1587223509">
    <w:abstractNumId w:val="2"/>
  </w:num>
  <w:num w:numId="4" w16cid:durableId="1595357937">
    <w:abstractNumId w:val="9"/>
  </w:num>
  <w:num w:numId="5" w16cid:durableId="1659262424">
    <w:abstractNumId w:val="11"/>
  </w:num>
  <w:num w:numId="6" w16cid:durableId="1561595512">
    <w:abstractNumId w:val="21"/>
  </w:num>
  <w:num w:numId="7" w16cid:durableId="896664914">
    <w:abstractNumId w:val="10"/>
  </w:num>
  <w:num w:numId="8" w16cid:durableId="1778210054">
    <w:abstractNumId w:val="14"/>
  </w:num>
  <w:num w:numId="9" w16cid:durableId="1771313604">
    <w:abstractNumId w:val="23"/>
  </w:num>
  <w:num w:numId="10" w16cid:durableId="344745260">
    <w:abstractNumId w:val="19"/>
  </w:num>
  <w:num w:numId="11" w16cid:durableId="1857311184">
    <w:abstractNumId w:val="4"/>
  </w:num>
  <w:num w:numId="12" w16cid:durableId="58137847">
    <w:abstractNumId w:val="18"/>
  </w:num>
  <w:num w:numId="13" w16cid:durableId="1901482799">
    <w:abstractNumId w:val="25"/>
  </w:num>
  <w:num w:numId="14" w16cid:durableId="824929390">
    <w:abstractNumId w:val="17"/>
  </w:num>
  <w:num w:numId="15" w16cid:durableId="423113275">
    <w:abstractNumId w:val="24"/>
  </w:num>
  <w:num w:numId="16" w16cid:durableId="17215923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48029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942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89802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838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0628756">
    <w:abstractNumId w:val="7"/>
  </w:num>
  <w:num w:numId="22" w16cid:durableId="1583955289">
    <w:abstractNumId w:val="12"/>
  </w:num>
  <w:num w:numId="23" w16cid:durableId="134836416">
    <w:abstractNumId w:val="13"/>
  </w:num>
  <w:num w:numId="24" w16cid:durableId="2123068915">
    <w:abstractNumId w:val="6"/>
  </w:num>
  <w:num w:numId="25" w16cid:durableId="462121990">
    <w:abstractNumId w:val="8"/>
  </w:num>
  <w:num w:numId="26" w16cid:durableId="1907563941">
    <w:abstractNumId w:val="5"/>
  </w:num>
  <w:num w:numId="27" w16cid:durableId="1368678351">
    <w:abstractNumId w:val="0"/>
  </w:num>
  <w:num w:numId="28" w16cid:durableId="968391549">
    <w:abstractNumId w:val="22"/>
  </w:num>
  <w:num w:numId="29" w16cid:durableId="1000238588">
    <w:abstractNumId w:val="15"/>
  </w:num>
  <w:num w:numId="30" w16cid:durableId="1060204245">
    <w:abstractNumId w:val="20"/>
  </w:num>
  <w:num w:numId="31" w16cid:durableId="11217310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4B"/>
    <w:rsid w:val="00000483"/>
    <w:rsid w:val="00005CA5"/>
    <w:rsid w:val="000104D4"/>
    <w:rsid w:val="00012CCF"/>
    <w:rsid w:val="0001322B"/>
    <w:rsid w:val="00014478"/>
    <w:rsid w:val="000202E6"/>
    <w:rsid w:val="00021AE1"/>
    <w:rsid w:val="00025D0D"/>
    <w:rsid w:val="00027024"/>
    <w:rsid w:val="00027ECE"/>
    <w:rsid w:val="00030542"/>
    <w:rsid w:val="0004177E"/>
    <w:rsid w:val="00044D08"/>
    <w:rsid w:val="00045289"/>
    <w:rsid w:val="00045E00"/>
    <w:rsid w:val="00067653"/>
    <w:rsid w:val="00067870"/>
    <w:rsid w:val="0007127D"/>
    <w:rsid w:val="000801D3"/>
    <w:rsid w:val="00084640"/>
    <w:rsid w:val="0008747D"/>
    <w:rsid w:val="000A1C77"/>
    <w:rsid w:val="000B686E"/>
    <w:rsid w:val="000C0A8E"/>
    <w:rsid w:val="000C1677"/>
    <w:rsid w:val="000D0776"/>
    <w:rsid w:val="000D1431"/>
    <w:rsid w:val="000D3661"/>
    <w:rsid w:val="000D52E9"/>
    <w:rsid w:val="000D79DC"/>
    <w:rsid w:val="000E4A3B"/>
    <w:rsid w:val="000E6511"/>
    <w:rsid w:val="000E7C77"/>
    <w:rsid w:val="000F5841"/>
    <w:rsid w:val="001002D2"/>
    <w:rsid w:val="0010090C"/>
    <w:rsid w:val="00102A08"/>
    <w:rsid w:val="00105059"/>
    <w:rsid w:val="001105B7"/>
    <w:rsid w:val="0012018F"/>
    <w:rsid w:val="001230E2"/>
    <w:rsid w:val="00135B05"/>
    <w:rsid w:val="00137998"/>
    <w:rsid w:val="00142328"/>
    <w:rsid w:val="001541CD"/>
    <w:rsid w:val="00154674"/>
    <w:rsid w:val="0016028E"/>
    <w:rsid w:val="00161596"/>
    <w:rsid w:val="0016561F"/>
    <w:rsid w:val="00173052"/>
    <w:rsid w:val="00173206"/>
    <w:rsid w:val="00177989"/>
    <w:rsid w:val="001851E5"/>
    <w:rsid w:val="00187B4E"/>
    <w:rsid w:val="001910A3"/>
    <w:rsid w:val="00191A63"/>
    <w:rsid w:val="00192409"/>
    <w:rsid w:val="0019279B"/>
    <w:rsid w:val="00195DE8"/>
    <w:rsid w:val="001A23BA"/>
    <w:rsid w:val="001A5476"/>
    <w:rsid w:val="001A7B7F"/>
    <w:rsid w:val="001A7CBF"/>
    <w:rsid w:val="001B0460"/>
    <w:rsid w:val="001B197D"/>
    <w:rsid w:val="001C031B"/>
    <w:rsid w:val="001C7B04"/>
    <w:rsid w:val="001C7EF1"/>
    <w:rsid w:val="001D2271"/>
    <w:rsid w:val="001D5145"/>
    <w:rsid w:val="001D7D3E"/>
    <w:rsid w:val="001E142E"/>
    <w:rsid w:val="001F0938"/>
    <w:rsid w:val="001F0ACA"/>
    <w:rsid w:val="001F0C70"/>
    <w:rsid w:val="001F2F89"/>
    <w:rsid w:val="001F3298"/>
    <w:rsid w:val="001F3B13"/>
    <w:rsid w:val="001F6490"/>
    <w:rsid w:val="001F6A38"/>
    <w:rsid w:val="00203695"/>
    <w:rsid w:val="002043FA"/>
    <w:rsid w:val="00206398"/>
    <w:rsid w:val="002174DE"/>
    <w:rsid w:val="00224F7E"/>
    <w:rsid w:val="00234FCA"/>
    <w:rsid w:val="00251608"/>
    <w:rsid w:val="00257EC6"/>
    <w:rsid w:val="00262BDF"/>
    <w:rsid w:val="00267761"/>
    <w:rsid w:val="0027304B"/>
    <w:rsid w:val="00276FCB"/>
    <w:rsid w:val="002778D6"/>
    <w:rsid w:val="00277AC2"/>
    <w:rsid w:val="00293136"/>
    <w:rsid w:val="00297C7D"/>
    <w:rsid w:val="002A6F0C"/>
    <w:rsid w:val="002B12DE"/>
    <w:rsid w:val="002B677D"/>
    <w:rsid w:val="002C44FE"/>
    <w:rsid w:val="002C7895"/>
    <w:rsid w:val="002D4A23"/>
    <w:rsid w:val="002D58A1"/>
    <w:rsid w:val="002D76DC"/>
    <w:rsid w:val="002E2188"/>
    <w:rsid w:val="002E23EE"/>
    <w:rsid w:val="002E54AB"/>
    <w:rsid w:val="002F0773"/>
    <w:rsid w:val="002F0B3E"/>
    <w:rsid w:val="002F5552"/>
    <w:rsid w:val="003063A2"/>
    <w:rsid w:val="003067A6"/>
    <w:rsid w:val="00307531"/>
    <w:rsid w:val="0030756B"/>
    <w:rsid w:val="003144DD"/>
    <w:rsid w:val="0032331B"/>
    <w:rsid w:val="0032664F"/>
    <w:rsid w:val="0033477F"/>
    <w:rsid w:val="00342EBD"/>
    <w:rsid w:val="00344CC4"/>
    <w:rsid w:val="00350C39"/>
    <w:rsid w:val="00355CA2"/>
    <w:rsid w:val="00357259"/>
    <w:rsid w:val="00370A57"/>
    <w:rsid w:val="00371F9E"/>
    <w:rsid w:val="003729F6"/>
    <w:rsid w:val="00382039"/>
    <w:rsid w:val="003954CE"/>
    <w:rsid w:val="003965E6"/>
    <w:rsid w:val="003A55B5"/>
    <w:rsid w:val="003A7600"/>
    <w:rsid w:val="003A7A98"/>
    <w:rsid w:val="003B1953"/>
    <w:rsid w:val="003B48A3"/>
    <w:rsid w:val="003C7503"/>
    <w:rsid w:val="003D1922"/>
    <w:rsid w:val="003D2512"/>
    <w:rsid w:val="003E36F8"/>
    <w:rsid w:val="003E4E95"/>
    <w:rsid w:val="003E5A49"/>
    <w:rsid w:val="003E6CD7"/>
    <w:rsid w:val="003F5A57"/>
    <w:rsid w:val="003F659E"/>
    <w:rsid w:val="004005FB"/>
    <w:rsid w:val="0040403C"/>
    <w:rsid w:val="004138E8"/>
    <w:rsid w:val="0041394D"/>
    <w:rsid w:val="00414485"/>
    <w:rsid w:val="0042175C"/>
    <w:rsid w:val="004223F5"/>
    <w:rsid w:val="00422E6E"/>
    <w:rsid w:val="0043354B"/>
    <w:rsid w:val="00443705"/>
    <w:rsid w:val="00444CA1"/>
    <w:rsid w:val="004540AD"/>
    <w:rsid w:val="00461F8A"/>
    <w:rsid w:val="00462D9F"/>
    <w:rsid w:val="00465E6A"/>
    <w:rsid w:val="00470A0E"/>
    <w:rsid w:val="0047108E"/>
    <w:rsid w:val="00472CF7"/>
    <w:rsid w:val="00483A17"/>
    <w:rsid w:val="004841E7"/>
    <w:rsid w:val="004875DD"/>
    <w:rsid w:val="004A3024"/>
    <w:rsid w:val="004A3366"/>
    <w:rsid w:val="004A416E"/>
    <w:rsid w:val="004A6BF2"/>
    <w:rsid w:val="004B100F"/>
    <w:rsid w:val="004B619B"/>
    <w:rsid w:val="004C0713"/>
    <w:rsid w:val="004C52CC"/>
    <w:rsid w:val="004C6434"/>
    <w:rsid w:val="004D09E4"/>
    <w:rsid w:val="004D28E8"/>
    <w:rsid w:val="00500A6A"/>
    <w:rsid w:val="005012A6"/>
    <w:rsid w:val="00503759"/>
    <w:rsid w:val="005105E9"/>
    <w:rsid w:val="005109BB"/>
    <w:rsid w:val="00527596"/>
    <w:rsid w:val="00534BA5"/>
    <w:rsid w:val="00535E04"/>
    <w:rsid w:val="00540060"/>
    <w:rsid w:val="00542ACA"/>
    <w:rsid w:val="0054711C"/>
    <w:rsid w:val="0055264E"/>
    <w:rsid w:val="00562427"/>
    <w:rsid w:val="0056282F"/>
    <w:rsid w:val="005638EE"/>
    <w:rsid w:val="00564DCF"/>
    <w:rsid w:val="00573E8C"/>
    <w:rsid w:val="00575F30"/>
    <w:rsid w:val="0057695A"/>
    <w:rsid w:val="00576E1D"/>
    <w:rsid w:val="00580F93"/>
    <w:rsid w:val="00581D18"/>
    <w:rsid w:val="00583297"/>
    <w:rsid w:val="00583E3B"/>
    <w:rsid w:val="00586133"/>
    <w:rsid w:val="0059560B"/>
    <w:rsid w:val="005A10F9"/>
    <w:rsid w:val="005A3ECF"/>
    <w:rsid w:val="005B2327"/>
    <w:rsid w:val="005B3569"/>
    <w:rsid w:val="005B7955"/>
    <w:rsid w:val="005C0B17"/>
    <w:rsid w:val="005C334B"/>
    <w:rsid w:val="005C688E"/>
    <w:rsid w:val="005C73DC"/>
    <w:rsid w:val="005D11E4"/>
    <w:rsid w:val="005D2B7A"/>
    <w:rsid w:val="005D7189"/>
    <w:rsid w:val="005E12B0"/>
    <w:rsid w:val="005F3586"/>
    <w:rsid w:val="005F38EB"/>
    <w:rsid w:val="005F5971"/>
    <w:rsid w:val="00603AB6"/>
    <w:rsid w:val="0060537A"/>
    <w:rsid w:val="00606436"/>
    <w:rsid w:val="0060694D"/>
    <w:rsid w:val="00614059"/>
    <w:rsid w:val="006152BB"/>
    <w:rsid w:val="006218BD"/>
    <w:rsid w:val="00631E0C"/>
    <w:rsid w:val="00645982"/>
    <w:rsid w:val="0064760B"/>
    <w:rsid w:val="00647D95"/>
    <w:rsid w:val="006506AE"/>
    <w:rsid w:val="00656779"/>
    <w:rsid w:val="00665C8C"/>
    <w:rsid w:val="00666B09"/>
    <w:rsid w:val="00680C57"/>
    <w:rsid w:val="0069234B"/>
    <w:rsid w:val="00696B81"/>
    <w:rsid w:val="006A45D3"/>
    <w:rsid w:val="006A785F"/>
    <w:rsid w:val="006B107B"/>
    <w:rsid w:val="006B3555"/>
    <w:rsid w:val="006B3673"/>
    <w:rsid w:val="006C286F"/>
    <w:rsid w:val="006C3A0F"/>
    <w:rsid w:val="006C6A40"/>
    <w:rsid w:val="006C7EF8"/>
    <w:rsid w:val="006D0853"/>
    <w:rsid w:val="006D1308"/>
    <w:rsid w:val="006D748A"/>
    <w:rsid w:val="006E01C9"/>
    <w:rsid w:val="006E37CD"/>
    <w:rsid w:val="006F685F"/>
    <w:rsid w:val="006F688D"/>
    <w:rsid w:val="00705640"/>
    <w:rsid w:val="00710AB8"/>
    <w:rsid w:val="00712DBF"/>
    <w:rsid w:val="00713232"/>
    <w:rsid w:val="0071709A"/>
    <w:rsid w:val="00720F66"/>
    <w:rsid w:val="00735522"/>
    <w:rsid w:val="007360E4"/>
    <w:rsid w:val="00736CBA"/>
    <w:rsid w:val="007427F2"/>
    <w:rsid w:val="00753354"/>
    <w:rsid w:val="0075509F"/>
    <w:rsid w:val="00765EB9"/>
    <w:rsid w:val="007666EA"/>
    <w:rsid w:val="00776172"/>
    <w:rsid w:val="007767E3"/>
    <w:rsid w:val="007844A9"/>
    <w:rsid w:val="00785D99"/>
    <w:rsid w:val="0079426F"/>
    <w:rsid w:val="00794909"/>
    <w:rsid w:val="007962EE"/>
    <w:rsid w:val="00796D6D"/>
    <w:rsid w:val="007A32E6"/>
    <w:rsid w:val="007A5BAB"/>
    <w:rsid w:val="007B05A1"/>
    <w:rsid w:val="007B4CE7"/>
    <w:rsid w:val="007B6C0A"/>
    <w:rsid w:val="007C6CB2"/>
    <w:rsid w:val="007D5FE6"/>
    <w:rsid w:val="007E1021"/>
    <w:rsid w:val="007E4677"/>
    <w:rsid w:val="007F13B0"/>
    <w:rsid w:val="007F3514"/>
    <w:rsid w:val="0080070F"/>
    <w:rsid w:val="008012A2"/>
    <w:rsid w:val="00813A4A"/>
    <w:rsid w:val="00815A1A"/>
    <w:rsid w:val="008160ED"/>
    <w:rsid w:val="00832C80"/>
    <w:rsid w:val="00837076"/>
    <w:rsid w:val="00837AEB"/>
    <w:rsid w:val="0084064B"/>
    <w:rsid w:val="00841CB5"/>
    <w:rsid w:val="00842E2A"/>
    <w:rsid w:val="008473FB"/>
    <w:rsid w:val="00847EB9"/>
    <w:rsid w:val="00854746"/>
    <w:rsid w:val="00854B10"/>
    <w:rsid w:val="00860B63"/>
    <w:rsid w:val="0086120E"/>
    <w:rsid w:val="008644DB"/>
    <w:rsid w:val="008703FF"/>
    <w:rsid w:val="00882CB6"/>
    <w:rsid w:val="00886107"/>
    <w:rsid w:val="0089017C"/>
    <w:rsid w:val="00894FFA"/>
    <w:rsid w:val="008A00B9"/>
    <w:rsid w:val="008A1F6C"/>
    <w:rsid w:val="008A3871"/>
    <w:rsid w:val="008A40D6"/>
    <w:rsid w:val="008B023B"/>
    <w:rsid w:val="008B24FA"/>
    <w:rsid w:val="008B455B"/>
    <w:rsid w:val="008C0123"/>
    <w:rsid w:val="008C51D9"/>
    <w:rsid w:val="008C5D33"/>
    <w:rsid w:val="008C6F52"/>
    <w:rsid w:val="008D1B26"/>
    <w:rsid w:val="008D4751"/>
    <w:rsid w:val="008D50FB"/>
    <w:rsid w:val="008E4575"/>
    <w:rsid w:val="008E7E69"/>
    <w:rsid w:val="008F30F9"/>
    <w:rsid w:val="0092382E"/>
    <w:rsid w:val="00925163"/>
    <w:rsid w:val="00930372"/>
    <w:rsid w:val="0093550E"/>
    <w:rsid w:val="009452A3"/>
    <w:rsid w:val="009462B8"/>
    <w:rsid w:val="00947A0D"/>
    <w:rsid w:val="00952DCF"/>
    <w:rsid w:val="00957C14"/>
    <w:rsid w:val="00962E08"/>
    <w:rsid w:val="00965D44"/>
    <w:rsid w:val="00967FBB"/>
    <w:rsid w:val="00972E98"/>
    <w:rsid w:val="0097411E"/>
    <w:rsid w:val="00974687"/>
    <w:rsid w:val="00981847"/>
    <w:rsid w:val="00983E70"/>
    <w:rsid w:val="009869DE"/>
    <w:rsid w:val="00986B71"/>
    <w:rsid w:val="00991CD0"/>
    <w:rsid w:val="00992A9F"/>
    <w:rsid w:val="00994B18"/>
    <w:rsid w:val="009C181C"/>
    <w:rsid w:val="009C2468"/>
    <w:rsid w:val="009C4FDA"/>
    <w:rsid w:val="009D37BD"/>
    <w:rsid w:val="009D6F69"/>
    <w:rsid w:val="009D79DA"/>
    <w:rsid w:val="009E0978"/>
    <w:rsid w:val="009E20E1"/>
    <w:rsid w:val="009E5FB4"/>
    <w:rsid w:val="009E6704"/>
    <w:rsid w:val="009E71A4"/>
    <w:rsid w:val="009F21E6"/>
    <w:rsid w:val="009F49D6"/>
    <w:rsid w:val="009F6C3D"/>
    <w:rsid w:val="00A12542"/>
    <w:rsid w:val="00A15508"/>
    <w:rsid w:val="00A16EF7"/>
    <w:rsid w:val="00A23ADA"/>
    <w:rsid w:val="00A25A02"/>
    <w:rsid w:val="00A31254"/>
    <w:rsid w:val="00A317A4"/>
    <w:rsid w:val="00A32522"/>
    <w:rsid w:val="00A33D0C"/>
    <w:rsid w:val="00A37123"/>
    <w:rsid w:val="00A378EF"/>
    <w:rsid w:val="00A40DEF"/>
    <w:rsid w:val="00A4615A"/>
    <w:rsid w:val="00A46B63"/>
    <w:rsid w:val="00A51D37"/>
    <w:rsid w:val="00A523DD"/>
    <w:rsid w:val="00A53B1E"/>
    <w:rsid w:val="00A56209"/>
    <w:rsid w:val="00A6145B"/>
    <w:rsid w:val="00A66C76"/>
    <w:rsid w:val="00A85F8C"/>
    <w:rsid w:val="00AA3CBD"/>
    <w:rsid w:val="00AA4417"/>
    <w:rsid w:val="00AB46A0"/>
    <w:rsid w:val="00AB5427"/>
    <w:rsid w:val="00AB5FD9"/>
    <w:rsid w:val="00AC3886"/>
    <w:rsid w:val="00AC51A2"/>
    <w:rsid w:val="00AD4789"/>
    <w:rsid w:val="00AE3077"/>
    <w:rsid w:val="00AE3B91"/>
    <w:rsid w:val="00AE422C"/>
    <w:rsid w:val="00AE5C65"/>
    <w:rsid w:val="00AF3B27"/>
    <w:rsid w:val="00AF5923"/>
    <w:rsid w:val="00B11F5A"/>
    <w:rsid w:val="00B1200A"/>
    <w:rsid w:val="00B16010"/>
    <w:rsid w:val="00B17517"/>
    <w:rsid w:val="00B235CB"/>
    <w:rsid w:val="00B305A9"/>
    <w:rsid w:val="00B315D1"/>
    <w:rsid w:val="00B327D3"/>
    <w:rsid w:val="00B3329B"/>
    <w:rsid w:val="00B357C4"/>
    <w:rsid w:val="00B35DDB"/>
    <w:rsid w:val="00B364C4"/>
    <w:rsid w:val="00B467B2"/>
    <w:rsid w:val="00B52A9C"/>
    <w:rsid w:val="00B553A0"/>
    <w:rsid w:val="00B5786E"/>
    <w:rsid w:val="00B61B18"/>
    <w:rsid w:val="00B62774"/>
    <w:rsid w:val="00B6330B"/>
    <w:rsid w:val="00B73987"/>
    <w:rsid w:val="00B746F2"/>
    <w:rsid w:val="00B7693A"/>
    <w:rsid w:val="00B87C22"/>
    <w:rsid w:val="00B87C52"/>
    <w:rsid w:val="00BA08C7"/>
    <w:rsid w:val="00BB2AAB"/>
    <w:rsid w:val="00BB4432"/>
    <w:rsid w:val="00BB7F4E"/>
    <w:rsid w:val="00BC0E07"/>
    <w:rsid w:val="00BC0F6C"/>
    <w:rsid w:val="00BD7E85"/>
    <w:rsid w:val="00BE0CF0"/>
    <w:rsid w:val="00BE4CA3"/>
    <w:rsid w:val="00BE58BC"/>
    <w:rsid w:val="00BF238D"/>
    <w:rsid w:val="00BF49A2"/>
    <w:rsid w:val="00BF73DB"/>
    <w:rsid w:val="00BF7DD1"/>
    <w:rsid w:val="00C01CC1"/>
    <w:rsid w:val="00C0691A"/>
    <w:rsid w:val="00C14665"/>
    <w:rsid w:val="00C175A2"/>
    <w:rsid w:val="00C2030E"/>
    <w:rsid w:val="00C21499"/>
    <w:rsid w:val="00C327BF"/>
    <w:rsid w:val="00C32A2A"/>
    <w:rsid w:val="00C32D39"/>
    <w:rsid w:val="00C36435"/>
    <w:rsid w:val="00C40391"/>
    <w:rsid w:val="00C4109E"/>
    <w:rsid w:val="00C42B12"/>
    <w:rsid w:val="00C47305"/>
    <w:rsid w:val="00C611EE"/>
    <w:rsid w:val="00C70445"/>
    <w:rsid w:val="00C70B82"/>
    <w:rsid w:val="00C7124F"/>
    <w:rsid w:val="00C74F0B"/>
    <w:rsid w:val="00C86533"/>
    <w:rsid w:val="00C93DF0"/>
    <w:rsid w:val="00CA4375"/>
    <w:rsid w:val="00CA5232"/>
    <w:rsid w:val="00CA5F70"/>
    <w:rsid w:val="00CB0E01"/>
    <w:rsid w:val="00CB22D6"/>
    <w:rsid w:val="00CB490F"/>
    <w:rsid w:val="00CB5257"/>
    <w:rsid w:val="00CB5AFB"/>
    <w:rsid w:val="00CB5DC5"/>
    <w:rsid w:val="00CB78EC"/>
    <w:rsid w:val="00CC6158"/>
    <w:rsid w:val="00CC683A"/>
    <w:rsid w:val="00CD00DF"/>
    <w:rsid w:val="00CD30F8"/>
    <w:rsid w:val="00CD346B"/>
    <w:rsid w:val="00CD52B9"/>
    <w:rsid w:val="00CE42FE"/>
    <w:rsid w:val="00CE64FC"/>
    <w:rsid w:val="00CF0F90"/>
    <w:rsid w:val="00CF1262"/>
    <w:rsid w:val="00CF1AF5"/>
    <w:rsid w:val="00CF25F9"/>
    <w:rsid w:val="00CF63F1"/>
    <w:rsid w:val="00D01CBE"/>
    <w:rsid w:val="00D025F3"/>
    <w:rsid w:val="00D1151E"/>
    <w:rsid w:val="00D1221C"/>
    <w:rsid w:val="00D162CF"/>
    <w:rsid w:val="00D219C6"/>
    <w:rsid w:val="00D22154"/>
    <w:rsid w:val="00D26AE3"/>
    <w:rsid w:val="00D309CC"/>
    <w:rsid w:val="00D3769B"/>
    <w:rsid w:val="00D43901"/>
    <w:rsid w:val="00D44E2D"/>
    <w:rsid w:val="00D460A6"/>
    <w:rsid w:val="00D50D6E"/>
    <w:rsid w:val="00D559D5"/>
    <w:rsid w:val="00D63CC3"/>
    <w:rsid w:val="00D708B4"/>
    <w:rsid w:val="00D80EC8"/>
    <w:rsid w:val="00D862AA"/>
    <w:rsid w:val="00D91097"/>
    <w:rsid w:val="00DA0E69"/>
    <w:rsid w:val="00DA611E"/>
    <w:rsid w:val="00DA62F7"/>
    <w:rsid w:val="00DB391E"/>
    <w:rsid w:val="00DB567D"/>
    <w:rsid w:val="00DC0D0C"/>
    <w:rsid w:val="00DC1D3E"/>
    <w:rsid w:val="00DC384C"/>
    <w:rsid w:val="00DC5700"/>
    <w:rsid w:val="00DD1FDE"/>
    <w:rsid w:val="00DD5683"/>
    <w:rsid w:val="00DD67FE"/>
    <w:rsid w:val="00DD7A42"/>
    <w:rsid w:val="00DE1B40"/>
    <w:rsid w:val="00DF21A0"/>
    <w:rsid w:val="00DF3E9B"/>
    <w:rsid w:val="00E10A4C"/>
    <w:rsid w:val="00E12077"/>
    <w:rsid w:val="00E1416E"/>
    <w:rsid w:val="00E15E78"/>
    <w:rsid w:val="00E30014"/>
    <w:rsid w:val="00E34F62"/>
    <w:rsid w:val="00E4289A"/>
    <w:rsid w:val="00E47F09"/>
    <w:rsid w:val="00E50D37"/>
    <w:rsid w:val="00E61193"/>
    <w:rsid w:val="00E6376E"/>
    <w:rsid w:val="00E76AA2"/>
    <w:rsid w:val="00E83CE0"/>
    <w:rsid w:val="00E876AD"/>
    <w:rsid w:val="00E91669"/>
    <w:rsid w:val="00E9444D"/>
    <w:rsid w:val="00E95D6F"/>
    <w:rsid w:val="00E97C11"/>
    <w:rsid w:val="00EA2B8E"/>
    <w:rsid w:val="00EA59AD"/>
    <w:rsid w:val="00EA79B2"/>
    <w:rsid w:val="00EB7CA0"/>
    <w:rsid w:val="00EC3A85"/>
    <w:rsid w:val="00EC52C0"/>
    <w:rsid w:val="00EE468D"/>
    <w:rsid w:val="00EE6E09"/>
    <w:rsid w:val="00F0081B"/>
    <w:rsid w:val="00F07866"/>
    <w:rsid w:val="00F14F21"/>
    <w:rsid w:val="00F17A14"/>
    <w:rsid w:val="00F210FA"/>
    <w:rsid w:val="00F228EE"/>
    <w:rsid w:val="00F2436A"/>
    <w:rsid w:val="00F246A0"/>
    <w:rsid w:val="00F279B7"/>
    <w:rsid w:val="00F36201"/>
    <w:rsid w:val="00F4170D"/>
    <w:rsid w:val="00F4577D"/>
    <w:rsid w:val="00F516E7"/>
    <w:rsid w:val="00F5225F"/>
    <w:rsid w:val="00F573CC"/>
    <w:rsid w:val="00F61209"/>
    <w:rsid w:val="00F62979"/>
    <w:rsid w:val="00F63F29"/>
    <w:rsid w:val="00F666BC"/>
    <w:rsid w:val="00F72135"/>
    <w:rsid w:val="00F8307F"/>
    <w:rsid w:val="00F84CA7"/>
    <w:rsid w:val="00F8734D"/>
    <w:rsid w:val="00F906DD"/>
    <w:rsid w:val="00F94826"/>
    <w:rsid w:val="00F96B57"/>
    <w:rsid w:val="00FA38E2"/>
    <w:rsid w:val="00FB4F6B"/>
    <w:rsid w:val="00FC0C0A"/>
    <w:rsid w:val="00FC2D18"/>
    <w:rsid w:val="00FC3EF5"/>
    <w:rsid w:val="00FC76E3"/>
    <w:rsid w:val="00FD1B04"/>
    <w:rsid w:val="00FD636E"/>
    <w:rsid w:val="00FE0F7A"/>
    <w:rsid w:val="00FE1577"/>
    <w:rsid w:val="00FE1734"/>
    <w:rsid w:val="00FE29A2"/>
    <w:rsid w:val="00FE40CF"/>
    <w:rsid w:val="00FF1009"/>
    <w:rsid w:val="00FF5ACB"/>
    <w:rsid w:val="00FF71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84D2"/>
  <w15:docId w15:val="{194D49BB-F0C0-4B8E-9AB1-9E53B7D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4B"/>
    <w:pPr>
      <w:ind w:left="720"/>
      <w:contextualSpacing/>
    </w:pPr>
  </w:style>
  <w:style w:type="table" w:styleId="TableGrid">
    <w:name w:val="Table Grid"/>
    <w:basedOn w:val="TableNormal"/>
    <w:uiPriority w:val="59"/>
    <w:rsid w:val="0027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A6B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BF2"/>
    <w:rPr>
      <w:sz w:val="20"/>
      <w:szCs w:val="20"/>
    </w:rPr>
  </w:style>
  <w:style w:type="character" w:styleId="EndnoteReference">
    <w:name w:val="endnote reference"/>
    <w:basedOn w:val="DefaultParagraphFont"/>
    <w:uiPriority w:val="99"/>
    <w:semiHidden/>
    <w:unhideWhenUsed/>
    <w:rsid w:val="004A6BF2"/>
    <w:rPr>
      <w:vertAlign w:val="superscript"/>
    </w:rPr>
  </w:style>
  <w:style w:type="paragraph" w:styleId="FootnoteText">
    <w:name w:val="footnote text"/>
    <w:basedOn w:val="Normal"/>
    <w:link w:val="FootnoteTextChar"/>
    <w:uiPriority w:val="99"/>
    <w:semiHidden/>
    <w:unhideWhenUsed/>
    <w:rsid w:val="004A6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BF2"/>
    <w:rPr>
      <w:sz w:val="20"/>
      <w:szCs w:val="20"/>
    </w:rPr>
  </w:style>
  <w:style w:type="character" w:styleId="FootnoteReference">
    <w:name w:val="footnote reference"/>
    <w:basedOn w:val="DefaultParagraphFont"/>
    <w:uiPriority w:val="99"/>
    <w:semiHidden/>
    <w:unhideWhenUsed/>
    <w:rsid w:val="004A6BF2"/>
    <w:rPr>
      <w:vertAlign w:val="superscript"/>
    </w:rPr>
  </w:style>
  <w:style w:type="paragraph" w:styleId="Header">
    <w:name w:val="header"/>
    <w:basedOn w:val="Normal"/>
    <w:link w:val="HeaderChar"/>
    <w:uiPriority w:val="99"/>
    <w:unhideWhenUsed/>
    <w:rsid w:val="00D30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CC"/>
  </w:style>
  <w:style w:type="paragraph" w:styleId="Footer">
    <w:name w:val="footer"/>
    <w:basedOn w:val="Normal"/>
    <w:link w:val="FooterChar"/>
    <w:uiPriority w:val="99"/>
    <w:unhideWhenUsed/>
    <w:rsid w:val="00D30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CC"/>
  </w:style>
  <w:style w:type="paragraph" w:customStyle="1" w:styleId="Default">
    <w:name w:val="Default"/>
    <w:rsid w:val="00573E8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73E8C"/>
    <w:rPr>
      <w:color w:val="0000FF" w:themeColor="hyperlink"/>
      <w:u w:val="single"/>
    </w:rPr>
  </w:style>
  <w:style w:type="character" w:styleId="CommentReference">
    <w:name w:val="annotation reference"/>
    <w:rsid w:val="001F3298"/>
    <w:rPr>
      <w:sz w:val="16"/>
      <w:szCs w:val="16"/>
    </w:rPr>
  </w:style>
  <w:style w:type="paragraph" w:styleId="CommentText">
    <w:name w:val="annotation text"/>
    <w:basedOn w:val="Normal"/>
    <w:link w:val="CommentTextChar"/>
    <w:rsid w:val="001F329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F329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E157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E157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4D09E4"/>
    <w:rPr>
      <w:color w:val="800080" w:themeColor="followedHyperlink"/>
      <w:u w:val="single"/>
    </w:rPr>
  </w:style>
  <w:style w:type="table" w:customStyle="1" w:styleId="TableGrid2">
    <w:name w:val="Table Grid2"/>
    <w:basedOn w:val="TableNormal"/>
    <w:next w:val="TableGrid"/>
    <w:uiPriority w:val="59"/>
    <w:rsid w:val="00D122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FD9"/>
    <w:pPr>
      <w:spacing w:after="0" w:line="240" w:lineRule="auto"/>
    </w:pPr>
  </w:style>
  <w:style w:type="character" w:customStyle="1" w:styleId="UnresolvedMention1">
    <w:name w:val="Unresolved Mention1"/>
    <w:basedOn w:val="DefaultParagraphFont"/>
    <w:uiPriority w:val="99"/>
    <w:semiHidden/>
    <w:unhideWhenUsed/>
    <w:rsid w:val="009E20E1"/>
    <w:rPr>
      <w:color w:val="605E5C"/>
      <w:shd w:val="clear" w:color="auto" w:fill="E1DFDD"/>
    </w:rPr>
  </w:style>
  <w:style w:type="character" w:customStyle="1" w:styleId="cf01">
    <w:name w:val="cf01"/>
    <w:basedOn w:val="DefaultParagraphFont"/>
    <w:rsid w:val="001F0ACA"/>
    <w:rPr>
      <w:rFonts w:ascii="Segoe UI" w:hAnsi="Segoe UI" w:cs="Segoe UI" w:hint="default"/>
      <w:sz w:val="18"/>
      <w:szCs w:val="18"/>
    </w:rPr>
  </w:style>
  <w:style w:type="character" w:styleId="UnresolvedMention">
    <w:name w:val="Unresolved Mention"/>
    <w:basedOn w:val="DefaultParagraphFont"/>
    <w:uiPriority w:val="99"/>
    <w:semiHidden/>
    <w:unhideWhenUsed/>
    <w:rsid w:val="00BC0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575273/DHR-Statutory-Guidance-161206.pdf" TargetMode="External"/><Relationship Id="rId18" Type="http://schemas.openxmlformats.org/officeDocument/2006/relationships/hyperlink" Target="mailto:DHR@lincolnshire.gov.uk" TargetMode="External"/><Relationship Id="rId26" Type="http://schemas.openxmlformats.org/officeDocument/2006/relationships/hyperlink" Target="https://professionals.lincolnshire.gov.uk/homepage/63/domestic-abuse" TargetMode="External"/><Relationship Id="rId3" Type="http://schemas.openxmlformats.org/officeDocument/2006/relationships/customXml" Target="../customXml/item3.xml"/><Relationship Id="rId21" Type="http://schemas.openxmlformats.org/officeDocument/2006/relationships/hyperlink" Target="mailto:DHREnquiries@homeoffice.gsi.gov.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575273/DHR-Statutory-Guidance-161206.pdf" TargetMode="External"/><Relationship Id="rId25" Type="http://schemas.openxmlformats.org/officeDocument/2006/relationships/hyperlink" Target="https://www.gov.uk/government/publications/revised-statutory-guidance-for-the-conduct-of-domestic-homicide-reviews" TargetMode="External"/><Relationship Id="rId2" Type="http://schemas.openxmlformats.org/officeDocument/2006/relationships/customXml" Target="../customXml/item2.xml"/><Relationship Id="rId16" Type="http://schemas.openxmlformats.org/officeDocument/2006/relationships/hyperlink" Target="mailto:DHRENQUIRIES@homeoffice.gsi.gov.uk" TargetMode="External"/><Relationship Id="rId20" Type="http://schemas.openxmlformats.org/officeDocument/2006/relationships/hyperlink" Target="https://www.gov.uk/government/publications/revised-statutory-guidance-for-the-conduct-of-domestic-homicide-review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professionals.lincolnshire.gov.uk/downloads/download/210/dhr-published-reports" TargetMode="External"/><Relationship Id="rId5" Type="http://schemas.openxmlformats.org/officeDocument/2006/relationships/numbering" Target="numbering.xml"/><Relationship Id="rId15" Type="http://schemas.openxmlformats.org/officeDocument/2006/relationships/hyperlink" Target="https://www.gov.uk/government/organisations/home-office/series/domestic-homicidereview" TargetMode="External"/><Relationship Id="rId23" Type="http://schemas.openxmlformats.org/officeDocument/2006/relationships/hyperlink" Target="http://www.cps.gov.uk/legal/d_to_g/disclosure_manual" TargetMode="External"/><Relationship Id="rId28" Type="http://schemas.openxmlformats.org/officeDocument/2006/relationships/hyperlink" Target="https://www.gov.uk/government/publications/revised-statutory-guidance-for-the-conduct-of-domestic-homicide-reviews" TargetMode="External"/><Relationship Id="rId10" Type="http://schemas.openxmlformats.org/officeDocument/2006/relationships/endnotes" Target="endnotes.xml"/><Relationship Id="rId19" Type="http://schemas.openxmlformats.org/officeDocument/2006/relationships/hyperlink" Target="mailto:DHR@lincolnshire.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575273/DHR-Statutory-Guidance-161206.pdf" TargetMode="External"/><Relationship Id="rId22" Type="http://schemas.openxmlformats.org/officeDocument/2006/relationships/hyperlink" Target="mailto:DHREnquiries@homeoffice.gsi.gov.uk" TargetMode="External"/><Relationship Id="rId27" Type="http://schemas.openxmlformats.org/officeDocument/2006/relationships/hyperlink" Target="https://professionals.lincolnshire.gov.uk/downloads/download/207/dhr-resour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a14884-4e29-4490-b064-2dadd215cf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A45E82099D94487CC57E9067B5CF0" ma:contentTypeVersion="15" ma:contentTypeDescription="Create a new document." ma:contentTypeScope="" ma:versionID="0ff3a67fe104151af628ff4b02d3e5e8">
  <xsd:schema xmlns:xsd="http://www.w3.org/2001/XMLSchema" xmlns:xs="http://www.w3.org/2001/XMLSchema" xmlns:p="http://schemas.microsoft.com/office/2006/metadata/properties" xmlns:ns2="42a14884-4e29-4490-b064-2dadd215cf5a" xmlns:ns3="484b8554-633d-48ff-a774-8da470133c03" targetNamespace="http://schemas.microsoft.com/office/2006/metadata/properties" ma:root="true" ma:fieldsID="f412ddcff209aca57c45ad4370242dac" ns2:_="" ns3:_="">
    <xsd:import namespace="42a14884-4e29-4490-b064-2dadd215cf5a"/>
    <xsd:import namespace="484b8554-633d-48ff-a774-8da470133c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14884-4e29-4490-b064-2dadd215c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b8554-633d-48ff-a774-8da470133c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41B50-1A01-4F6B-B783-D00137CAE76F}">
  <ds:schemaRefs>
    <ds:schemaRef ds:uri="http://schemas.openxmlformats.org/officeDocument/2006/bibliography"/>
  </ds:schemaRefs>
</ds:datastoreItem>
</file>

<file path=customXml/itemProps2.xml><?xml version="1.0" encoding="utf-8"?>
<ds:datastoreItem xmlns:ds="http://schemas.openxmlformats.org/officeDocument/2006/customXml" ds:itemID="{603635B7-4241-4F12-82B8-C2157A4B18C4}">
  <ds:schemaRefs>
    <ds:schemaRef ds:uri="http://schemas.microsoft.com/office/2006/metadata/properties"/>
    <ds:schemaRef ds:uri="http://schemas.microsoft.com/office/infopath/2007/PartnerControls"/>
    <ds:schemaRef ds:uri="42a14884-4e29-4490-b064-2dadd215cf5a"/>
  </ds:schemaRefs>
</ds:datastoreItem>
</file>

<file path=customXml/itemProps3.xml><?xml version="1.0" encoding="utf-8"?>
<ds:datastoreItem xmlns:ds="http://schemas.openxmlformats.org/officeDocument/2006/customXml" ds:itemID="{B7E9DA27-9BD0-4C9A-8907-0502CF2B8645}">
  <ds:schemaRefs>
    <ds:schemaRef ds:uri="http://schemas.microsoft.com/sharepoint/v3/contenttype/forms"/>
  </ds:schemaRefs>
</ds:datastoreItem>
</file>

<file path=customXml/itemProps4.xml><?xml version="1.0" encoding="utf-8"?>
<ds:datastoreItem xmlns:ds="http://schemas.openxmlformats.org/officeDocument/2006/customXml" ds:itemID="{401F3F5F-AD60-4190-B7A9-C17DEED3E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14884-4e29-4490-b064-2dadd215cf5a"/>
    <ds:schemaRef ds:uri="484b8554-633d-48ff-a774-8da470133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6465</Words>
  <Characters>36854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Sullivan</dc:creator>
  <cp:lastModifiedBy>Natalie Watkinson</cp:lastModifiedBy>
  <cp:revision>4</cp:revision>
  <dcterms:created xsi:type="dcterms:W3CDTF">2023-08-16T07:53:00Z</dcterms:created>
  <dcterms:modified xsi:type="dcterms:W3CDTF">2023-08-16T07:57:00Z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0x010100BE8A45E82099D94487CC57E9067B5CF0</vt:lpwstr>
  </property>
  <property fmtid="{D5CDD505-2E9C-101B-9397-08002B2CF9AE}" pid="3" name="MSIP_Label_cd7679a8-b296-4807-8cee-66cc2d806f92_Enabled">
    <vt:lpwstr>true</vt:lpwstr>
  </property>
  <property fmtid="{D5CDD505-2E9C-101B-9397-08002B2CF9AE}" pid="4" name="MSIP_Label_cd7679a8-b296-4807-8cee-66cc2d806f92_SetDate">
    <vt:lpwstr>2023-05-18T20:21:30Z</vt:lpwstr>
  </property>
  <property fmtid="{D5CDD505-2E9C-101B-9397-08002B2CF9AE}" pid="5" name="MSIP_Label_cd7679a8-b296-4807-8cee-66cc2d806f92_Method">
    <vt:lpwstr>Standard</vt:lpwstr>
  </property>
  <property fmtid="{D5CDD505-2E9C-101B-9397-08002B2CF9AE}" pid="6" name="MSIP_Label_cd7679a8-b296-4807-8cee-66cc2d806f92_Name">
    <vt:lpwstr>OFFICIAL</vt:lpwstr>
  </property>
  <property fmtid="{D5CDD505-2E9C-101B-9397-08002B2CF9AE}" pid="7" name="MSIP_Label_cd7679a8-b296-4807-8cee-66cc2d806f92_SiteId">
    <vt:lpwstr>64bdf0f9-219d-4cdc-88ea-2737325b4d26</vt:lpwstr>
  </property>
  <property fmtid="{D5CDD505-2E9C-101B-9397-08002B2CF9AE}" pid="8" name="MSIP_Label_cd7679a8-b296-4807-8cee-66cc2d806f92_ActionId">
    <vt:lpwstr>f0e01a9e-0d9d-4610-971b-c5421233558a</vt:lpwstr>
  </property>
  <property fmtid="{D5CDD505-2E9C-101B-9397-08002B2CF9AE}" pid="9" name="MSIP_Label_cd7679a8-b296-4807-8cee-66cc2d806f92_ContentBits">
    <vt:lpwstr>0</vt:lpwstr>
  </property>
</Properties>
</file>