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3A7" w:rsidRPr="005F1EAF" w:rsidRDefault="007E33A7" w:rsidP="007E33A7">
      <w:pPr>
        <w:pStyle w:val="Heading2"/>
        <w:rPr>
          <w:noProof/>
        </w:rPr>
      </w:pPr>
      <w:bookmarkStart w:id="0" w:name="_Toc514663964"/>
      <w:r w:rsidRPr="005F1EAF">
        <w:rPr>
          <w:noProof/>
        </w:rPr>
        <w:t xml:space="preserve">APPENDIX </w:t>
      </w:r>
      <w:bookmarkEnd w:id="0"/>
      <w:r w:rsidR="00F544C9">
        <w:rPr>
          <w:noProof/>
        </w:rPr>
        <w:t>A – IR35 outcome letter</w:t>
      </w:r>
      <w:r w:rsidR="00C9607F">
        <w:rPr>
          <w:noProof/>
        </w:rPr>
        <w:t xml:space="preserve"> to worker</w:t>
      </w:r>
    </w:p>
    <w:p w:rsidR="007E33A7" w:rsidRPr="005F1EAF" w:rsidRDefault="007E33A7" w:rsidP="007E33A7">
      <w:pPr>
        <w:ind w:left="-426" w:firstLine="426"/>
        <w:jc w:val="both"/>
        <w:rPr>
          <w:rFonts w:cs="Arial"/>
          <w:sz w:val="20"/>
          <w:szCs w:val="20"/>
        </w:rPr>
      </w:pPr>
    </w:p>
    <w:p w:rsidR="007E33A7" w:rsidRPr="005F1EAF" w:rsidRDefault="007E33A7" w:rsidP="007E33A7">
      <w:pPr>
        <w:rPr>
          <w:rFonts w:cs="Arial"/>
        </w:rPr>
      </w:pPr>
    </w:p>
    <w:p w:rsidR="00246657" w:rsidRPr="00246657" w:rsidRDefault="007E33A7" w:rsidP="00246657">
      <w:pPr>
        <w:rPr>
          <w:rFonts w:cs="Arial"/>
          <w:i/>
        </w:rPr>
      </w:pPr>
      <w:r w:rsidRPr="00246657">
        <w:rPr>
          <w:rFonts w:cs="Arial"/>
        </w:rPr>
        <w:t xml:space="preserve">Dear </w:t>
      </w:r>
      <w:r w:rsidRPr="00246657">
        <w:rPr>
          <w:rFonts w:cs="Arial"/>
          <w:i/>
        </w:rPr>
        <w:t>Temporary Worker,</w:t>
      </w:r>
    </w:p>
    <w:p w:rsidR="00246657" w:rsidRDefault="00246657" w:rsidP="00246657">
      <w:pPr>
        <w:ind w:left="-397" w:firstLine="397"/>
        <w:rPr>
          <w:rFonts w:cs="Arial"/>
          <w:b/>
          <w:bCs/>
          <w:iCs/>
          <w:sz w:val="22"/>
          <w:szCs w:val="22"/>
        </w:rPr>
      </w:pPr>
    </w:p>
    <w:p w:rsidR="00246657" w:rsidRPr="00246657" w:rsidRDefault="00AF7A5D" w:rsidP="00246657">
      <w:pPr>
        <w:ind w:left="-397" w:firstLine="397"/>
        <w:rPr>
          <w:rFonts w:cs="Arial"/>
          <w:i/>
          <w:sz w:val="22"/>
          <w:szCs w:val="22"/>
        </w:rPr>
      </w:pPr>
      <w:r>
        <w:rPr>
          <w:rFonts w:cs="Arial"/>
          <w:b/>
          <w:bCs/>
          <w:iCs/>
          <w:sz w:val="22"/>
          <w:szCs w:val="22"/>
        </w:rPr>
        <w:t xml:space="preserve">Off-Payroll </w:t>
      </w:r>
      <w:r w:rsidR="00A11F97">
        <w:rPr>
          <w:rFonts w:cs="Arial"/>
          <w:b/>
          <w:bCs/>
          <w:iCs/>
          <w:sz w:val="22"/>
          <w:szCs w:val="22"/>
        </w:rPr>
        <w:t>Working Rules (</w:t>
      </w:r>
      <w:r w:rsidR="00316347">
        <w:rPr>
          <w:rFonts w:cs="Arial"/>
          <w:b/>
          <w:bCs/>
          <w:iCs/>
          <w:sz w:val="22"/>
          <w:szCs w:val="22"/>
        </w:rPr>
        <w:t>IR35</w:t>
      </w:r>
      <w:r w:rsidR="00A11F97">
        <w:rPr>
          <w:rFonts w:cs="Arial"/>
          <w:b/>
          <w:bCs/>
          <w:iCs/>
          <w:sz w:val="22"/>
          <w:szCs w:val="22"/>
        </w:rPr>
        <w:t>)</w:t>
      </w:r>
      <w:r w:rsidR="00316347">
        <w:rPr>
          <w:rFonts w:cs="Arial"/>
          <w:b/>
          <w:bCs/>
          <w:iCs/>
          <w:sz w:val="22"/>
          <w:szCs w:val="22"/>
        </w:rPr>
        <w:t xml:space="preserve"> </w:t>
      </w:r>
    </w:p>
    <w:p w:rsidR="00246657" w:rsidRDefault="00246657" w:rsidP="00246657">
      <w:pPr>
        <w:ind w:left="720" w:hanging="720"/>
        <w:rPr>
          <w:rFonts w:cs="Arial"/>
          <w:b/>
          <w:bCs/>
          <w:iCs/>
          <w:sz w:val="22"/>
          <w:szCs w:val="22"/>
        </w:rPr>
      </w:pPr>
    </w:p>
    <w:p w:rsidR="00246657" w:rsidRPr="00C9607F" w:rsidRDefault="00C06698" w:rsidP="00C9607F">
      <w:pPr>
        <w:jc w:val="both"/>
        <w:rPr>
          <w:rFonts w:cs="Arial"/>
          <w:spacing w:val="2"/>
        </w:rPr>
      </w:pPr>
      <w:r w:rsidRPr="00C9607F">
        <w:rPr>
          <w:rFonts w:cs="Arial"/>
          <w:lang w:val="en"/>
        </w:rPr>
        <w:t xml:space="preserve">As you may be aware, </w:t>
      </w:r>
      <w:r w:rsidR="00D039F6" w:rsidRPr="00C9607F">
        <w:rPr>
          <w:rFonts w:cs="Arial"/>
          <w:lang w:val="en"/>
        </w:rPr>
        <w:t xml:space="preserve">off payroll working rules (IR35), which were first </w:t>
      </w:r>
      <w:r w:rsidR="00D039F6" w:rsidRPr="00C9607F">
        <w:rPr>
          <w:rFonts w:cs="Arial"/>
          <w:spacing w:val="2"/>
        </w:rPr>
        <w:t>introduced in</w:t>
      </w:r>
    </w:p>
    <w:p w:rsidR="00246657" w:rsidRPr="00C9607F" w:rsidRDefault="00D039F6" w:rsidP="00C9607F">
      <w:pPr>
        <w:jc w:val="both"/>
        <w:rPr>
          <w:rFonts w:cs="Arial"/>
          <w:spacing w:val="2"/>
        </w:rPr>
      </w:pPr>
      <w:r w:rsidRPr="00C9607F">
        <w:rPr>
          <w:rFonts w:cs="Arial"/>
          <w:spacing w:val="2"/>
        </w:rPr>
        <w:t>2000 were revised in 2017 placing the onus on public sector bodies to determine</w:t>
      </w:r>
      <w:r w:rsidR="00C77EB1" w:rsidRPr="00C9607F">
        <w:rPr>
          <w:rFonts w:cs="Arial"/>
          <w:spacing w:val="2"/>
        </w:rPr>
        <w:t xml:space="preserve"> </w:t>
      </w:r>
      <w:r w:rsidRPr="00C9607F">
        <w:rPr>
          <w:rFonts w:cs="Arial"/>
          <w:spacing w:val="2"/>
        </w:rPr>
        <w:t>the employment status of a contracto</w:t>
      </w:r>
      <w:r w:rsidR="00246657" w:rsidRPr="00C9607F">
        <w:rPr>
          <w:rFonts w:cs="Arial"/>
          <w:spacing w:val="2"/>
        </w:rPr>
        <w:t>r.</w:t>
      </w:r>
    </w:p>
    <w:p w:rsidR="00246657" w:rsidRDefault="00246657" w:rsidP="00C9607F">
      <w:pPr>
        <w:jc w:val="both"/>
        <w:rPr>
          <w:rFonts w:cs="Arial"/>
          <w:color w:val="333333"/>
          <w:spacing w:val="2"/>
        </w:rPr>
      </w:pPr>
    </w:p>
    <w:p w:rsidR="00246657" w:rsidRPr="00246657" w:rsidRDefault="00D039F6" w:rsidP="00C9607F">
      <w:pPr>
        <w:jc w:val="both"/>
        <w:rPr>
          <w:rFonts w:cs="Arial"/>
          <w:color w:val="333333"/>
          <w:spacing w:val="2"/>
        </w:rPr>
      </w:pPr>
      <w:r w:rsidRPr="00D039F6">
        <w:rPr>
          <w:rFonts w:cs="Arial"/>
        </w:rPr>
        <w:t>In essence, this means that with effect from 6</w:t>
      </w:r>
      <w:r w:rsidRPr="00D039F6">
        <w:rPr>
          <w:rFonts w:cs="Arial"/>
          <w:vertAlign w:val="superscript"/>
        </w:rPr>
        <w:t>th</w:t>
      </w:r>
      <w:r w:rsidRPr="00D039F6">
        <w:rPr>
          <w:rFonts w:cs="Arial"/>
        </w:rPr>
        <w:t xml:space="preserve"> April 2017 Lincolnshire County Council has been responsible for undertaking an assessment to determine whether it is appropriate to </w:t>
      </w:r>
      <w:r w:rsidR="00AB6F8B">
        <w:rPr>
          <w:rFonts w:cs="Arial"/>
        </w:rPr>
        <w:t>deduct</w:t>
      </w:r>
      <w:r w:rsidRPr="00D039F6">
        <w:rPr>
          <w:rFonts w:cs="Arial"/>
        </w:rPr>
        <w:t xml:space="preserve"> Pay </w:t>
      </w:r>
      <w:proofErr w:type="gramStart"/>
      <w:r w:rsidRPr="00D039F6">
        <w:rPr>
          <w:rFonts w:cs="Arial"/>
        </w:rPr>
        <w:t>As</w:t>
      </w:r>
      <w:proofErr w:type="gramEnd"/>
      <w:r w:rsidRPr="00D039F6">
        <w:rPr>
          <w:rFonts w:cs="Arial"/>
        </w:rPr>
        <w:t xml:space="preserve"> You Earn </w:t>
      </w:r>
      <w:r>
        <w:rPr>
          <w:rFonts w:cs="Arial"/>
        </w:rPr>
        <w:t xml:space="preserve">(PAYE) </w:t>
      </w:r>
      <w:r w:rsidRPr="00D039F6">
        <w:rPr>
          <w:rFonts w:cs="Arial"/>
        </w:rPr>
        <w:t xml:space="preserve">and National Insurance Contributions </w:t>
      </w:r>
      <w:r>
        <w:rPr>
          <w:rFonts w:cs="Arial"/>
        </w:rPr>
        <w:t xml:space="preserve">(NICs) </w:t>
      </w:r>
      <w:r w:rsidRPr="00D039F6">
        <w:rPr>
          <w:rFonts w:cs="Arial"/>
        </w:rPr>
        <w:t xml:space="preserve">on any payments </w:t>
      </w:r>
      <w:r w:rsidR="00C77EB1">
        <w:rPr>
          <w:rFonts w:cs="Arial"/>
        </w:rPr>
        <w:t>made</w:t>
      </w:r>
      <w:r w:rsidRPr="00D039F6">
        <w:rPr>
          <w:rFonts w:cs="Arial"/>
        </w:rPr>
        <w:t xml:space="preserve"> to temporary workers acting through a personal services company (PSC).</w:t>
      </w:r>
    </w:p>
    <w:p w:rsidR="00246657" w:rsidRDefault="00246657" w:rsidP="00C9607F">
      <w:pPr>
        <w:jc w:val="both"/>
        <w:rPr>
          <w:rFonts w:cs="Arial"/>
        </w:rPr>
      </w:pPr>
    </w:p>
    <w:p w:rsidR="00246657" w:rsidRDefault="00D039F6" w:rsidP="00C9607F">
      <w:pPr>
        <w:jc w:val="both"/>
        <w:rPr>
          <w:rFonts w:cs="Arial"/>
        </w:rPr>
      </w:pPr>
      <w:r w:rsidRPr="00A11F97">
        <w:rPr>
          <w:rFonts w:cs="Arial"/>
        </w:rPr>
        <w:t>Further changes were due to come into effect on 6</w:t>
      </w:r>
      <w:r w:rsidRPr="00A11F97">
        <w:rPr>
          <w:rFonts w:cs="Arial"/>
          <w:vertAlign w:val="superscript"/>
        </w:rPr>
        <w:t>th</w:t>
      </w:r>
      <w:r w:rsidRPr="00A11F97">
        <w:rPr>
          <w:rFonts w:cs="Arial"/>
        </w:rPr>
        <w:t xml:space="preserve"> April </w:t>
      </w:r>
      <w:r w:rsidR="00246657" w:rsidRPr="00A11F97">
        <w:rPr>
          <w:rFonts w:cs="Arial"/>
        </w:rPr>
        <w:t>2020;</w:t>
      </w:r>
      <w:r w:rsidRPr="00A11F97">
        <w:rPr>
          <w:rFonts w:cs="Arial"/>
        </w:rPr>
        <w:t xml:space="preserve"> however, these have now been delayed until April 2021 due to the COVID-19 pandemic.</w:t>
      </w:r>
      <w:r w:rsidR="00A11F97">
        <w:rPr>
          <w:rFonts w:cs="Arial"/>
        </w:rPr>
        <w:t xml:space="preserve">  Nevertheless, </w:t>
      </w:r>
      <w:r w:rsidR="00C77EB1">
        <w:rPr>
          <w:rFonts w:cs="Arial"/>
        </w:rPr>
        <w:t xml:space="preserve">as </w:t>
      </w:r>
      <w:r w:rsidR="00A11F97">
        <w:rPr>
          <w:rFonts w:cs="Arial"/>
        </w:rPr>
        <w:t xml:space="preserve">the </w:t>
      </w:r>
      <w:r w:rsidR="00C9607F">
        <w:rPr>
          <w:rFonts w:cs="Arial"/>
        </w:rPr>
        <w:t>School</w:t>
      </w:r>
      <w:bookmarkStart w:id="1" w:name="_GoBack"/>
      <w:bookmarkEnd w:id="1"/>
      <w:r w:rsidR="00A11F97">
        <w:rPr>
          <w:rFonts w:cs="Arial"/>
        </w:rPr>
        <w:t xml:space="preserve"> ha</w:t>
      </w:r>
      <w:r w:rsidR="00C77EB1">
        <w:rPr>
          <w:rFonts w:cs="Arial"/>
        </w:rPr>
        <w:t>s</w:t>
      </w:r>
      <w:r w:rsidR="00A11F97">
        <w:rPr>
          <w:rFonts w:cs="Arial"/>
        </w:rPr>
        <w:t xml:space="preserve"> already prepared for these changes </w:t>
      </w:r>
      <w:r w:rsidR="00C77EB1">
        <w:rPr>
          <w:rFonts w:cs="Arial"/>
        </w:rPr>
        <w:t xml:space="preserve">they </w:t>
      </w:r>
      <w:r w:rsidR="0029494F">
        <w:rPr>
          <w:rFonts w:cs="Arial"/>
        </w:rPr>
        <w:t xml:space="preserve">have been </w:t>
      </w:r>
      <w:r w:rsidR="00A11F97">
        <w:rPr>
          <w:rFonts w:cs="Arial"/>
        </w:rPr>
        <w:t xml:space="preserve">implemented </w:t>
      </w:r>
      <w:r w:rsidR="0029494F">
        <w:rPr>
          <w:rFonts w:cs="Arial"/>
        </w:rPr>
        <w:t xml:space="preserve">ahead of the proposed legislation as part of good practice.  </w:t>
      </w:r>
    </w:p>
    <w:p w:rsidR="00246657" w:rsidRDefault="00246657" w:rsidP="00C9607F">
      <w:pPr>
        <w:jc w:val="both"/>
        <w:rPr>
          <w:rFonts w:cs="Arial"/>
        </w:rPr>
      </w:pPr>
    </w:p>
    <w:p w:rsidR="00C77EB1" w:rsidRDefault="00AB6F8B" w:rsidP="00C9607F">
      <w:pPr>
        <w:jc w:val="both"/>
        <w:rPr>
          <w:rFonts w:cs="Arial"/>
        </w:rPr>
      </w:pPr>
      <w:r>
        <w:rPr>
          <w:rFonts w:cs="Arial"/>
        </w:rPr>
        <w:t>In view of</w:t>
      </w:r>
    </w:p>
    <w:p w:rsidR="00C77EB1" w:rsidRDefault="00C77EB1" w:rsidP="00C9607F">
      <w:pPr>
        <w:jc w:val="both"/>
        <w:rPr>
          <w:rFonts w:cs="Arial"/>
        </w:rPr>
      </w:pPr>
    </w:p>
    <w:p w:rsidR="00C77EB1" w:rsidRPr="00C77EB1" w:rsidRDefault="00C77EB1" w:rsidP="00C9607F">
      <w:pPr>
        <w:jc w:val="both"/>
        <w:rPr>
          <w:rFonts w:cs="Arial"/>
          <w:b/>
          <w:i/>
        </w:rPr>
      </w:pPr>
      <w:r w:rsidRPr="00C77EB1">
        <w:rPr>
          <w:rFonts w:cs="Arial"/>
          <w:b/>
          <w:i/>
        </w:rPr>
        <w:t xml:space="preserve">Either </w:t>
      </w:r>
    </w:p>
    <w:p w:rsidR="00C77EB1" w:rsidRDefault="00AB6F8B" w:rsidP="00C9607F">
      <w:pPr>
        <w:jc w:val="both"/>
        <w:rPr>
          <w:rFonts w:cs="Arial"/>
        </w:rPr>
      </w:pPr>
      <w:proofErr w:type="gramStart"/>
      <w:r>
        <w:rPr>
          <w:rFonts w:cs="Arial"/>
        </w:rPr>
        <w:t>the</w:t>
      </w:r>
      <w:proofErr w:type="gramEnd"/>
      <w:r w:rsidR="00C77EB1">
        <w:rPr>
          <w:rFonts w:cs="Arial"/>
        </w:rPr>
        <w:t xml:space="preserve"> </w:t>
      </w:r>
      <w:r w:rsidR="00A11F97">
        <w:rPr>
          <w:rFonts w:cs="Arial"/>
        </w:rPr>
        <w:t>contract for service</w:t>
      </w:r>
      <w:r w:rsidR="00C77EB1">
        <w:rPr>
          <w:rFonts w:cs="Arial"/>
        </w:rPr>
        <w:t xml:space="preserve"> </w:t>
      </w:r>
      <w:r>
        <w:rPr>
          <w:rFonts w:cs="Arial"/>
        </w:rPr>
        <w:t>you will be undertaking</w:t>
      </w:r>
    </w:p>
    <w:p w:rsidR="00C77EB1" w:rsidRDefault="00C77EB1" w:rsidP="00C9607F">
      <w:pPr>
        <w:jc w:val="both"/>
        <w:rPr>
          <w:rFonts w:cs="Arial"/>
        </w:rPr>
      </w:pPr>
    </w:p>
    <w:p w:rsidR="00C77EB1" w:rsidRPr="00C77EB1" w:rsidRDefault="00C77EB1" w:rsidP="00C9607F">
      <w:pPr>
        <w:jc w:val="both"/>
        <w:rPr>
          <w:rFonts w:cs="Arial"/>
          <w:b/>
          <w:i/>
        </w:rPr>
      </w:pPr>
      <w:proofErr w:type="gramStart"/>
      <w:r w:rsidRPr="00C77EB1">
        <w:rPr>
          <w:rFonts w:cs="Arial"/>
          <w:b/>
          <w:i/>
        </w:rPr>
        <w:t>or</w:t>
      </w:r>
      <w:proofErr w:type="gramEnd"/>
      <w:r w:rsidRPr="00C77EB1">
        <w:rPr>
          <w:rFonts w:cs="Arial"/>
          <w:b/>
          <w:i/>
        </w:rPr>
        <w:t xml:space="preserve"> </w:t>
      </w:r>
    </w:p>
    <w:p w:rsidR="00C77EB1" w:rsidRDefault="00C77EB1" w:rsidP="00C9607F">
      <w:pPr>
        <w:jc w:val="both"/>
        <w:rPr>
          <w:rFonts w:cs="Arial"/>
        </w:rPr>
      </w:pPr>
      <w:r>
        <w:rPr>
          <w:rFonts w:cs="Arial"/>
        </w:rPr>
        <w:t xml:space="preserve">the work you </w:t>
      </w:r>
      <w:r w:rsidR="00AB6F8B">
        <w:rPr>
          <w:rFonts w:cs="Arial"/>
        </w:rPr>
        <w:t>will be</w:t>
      </w:r>
      <w:r>
        <w:rPr>
          <w:rFonts w:cs="Arial"/>
        </w:rPr>
        <w:t xml:space="preserve"> undertaking through INSERT NAME OF Agency</w:t>
      </w:r>
      <w:r w:rsidR="00A11F97">
        <w:rPr>
          <w:rFonts w:cs="Arial"/>
        </w:rPr>
        <w:t xml:space="preserve"> </w:t>
      </w:r>
    </w:p>
    <w:p w:rsidR="00C77EB1" w:rsidRDefault="00C77EB1" w:rsidP="00C9607F">
      <w:pPr>
        <w:jc w:val="both"/>
        <w:rPr>
          <w:rFonts w:cs="Arial"/>
        </w:rPr>
      </w:pPr>
    </w:p>
    <w:p w:rsidR="00AB6F8B" w:rsidRPr="00246657" w:rsidRDefault="00AB6F8B" w:rsidP="00C9607F">
      <w:pPr>
        <w:jc w:val="both"/>
        <w:rPr>
          <w:rFonts w:cs="Arial"/>
        </w:rPr>
      </w:pPr>
      <w:proofErr w:type="gramStart"/>
      <w:r>
        <w:rPr>
          <w:lang w:val="en"/>
        </w:rPr>
        <w:t>the</w:t>
      </w:r>
      <w:proofErr w:type="gramEnd"/>
      <w:r>
        <w:rPr>
          <w:lang w:val="en"/>
        </w:rPr>
        <w:t xml:space="preserve"> HMRC's Check Employment Status for Tax Tool (</w:t>
      </w:r>
      <w:hyperlink r:id="rId6" w:history="1">
        <w:r>
          <w:rPr>
            <w:rStyle w:val="Hyperlink"/>
            <w:lang w:val="en"/>
          </w:rPr>
          <w:t>CEST</w:t>
        </w:r>
      </w:hyperlink>
      <w:r>
        <w:rPr>
          <w:rStyle w:val="Hyperlink"/>
          <w:lang w:val="en"/>
        </w:rPr>
        <w:t>)</w:t>
      </w:r>
      <w:r>
        <w:rPr>
          <w:lang w:val="en"/>
        </w:rPr>
        <w:t xml:space="preserve"> has been completed to help determine whether the off-working rules apply to this assignment and if you should be treated as employed or self-employed for tax purposes.</w:t>
      </w:r>
    </w:p>
    <w:p w:rsidR="00AB6F8B" w:rsidRDefault="00AB6F8B" w:rsidP="00C9607F">
      <w:pPr>
        <w:jc w:val="both"/>
        <w:rPr>
          <w:rFonts w:cs="Arial"/>
        </w:rPr>
      </w:pPr>
    </w:p>
    <w:p w:rsidR="00316347" w:rsidRDefault="00AB6F8B" w:rsidP="00C9607F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>P</w:t>
      </w:r>
      <w:r w:rsidR="00A11F97">
        <w:rPr>
          <w:rFonts w:cs="Arial"/>
        </w:rPr>
        <w:t xml:space="preserve">lease find enclosed the Status </w:t>
      </w:r>
      <w:r w:rsidR="00246657">
        <w:rPr>
          <w:rFonts w:cs="Arial"/>
        </w:rPr>
        <w:t>Determination</w:t>
      </w:r>
      <w:r w:rsidR="00A11F97">
        <w:rPr>
          <w:rFonts w:cs="Arial"/>
        </w:rPr>
        <w:t xml:space="preserve"> S</w:t>
      </w:r>
      <w:r>
        <w:rPr>
          <w:rFonts w:cs="Arial"/>
        </w:rPr>
        <w:t xml:space="preserve">tatement </w:t>
      </w:r>
      <w:r w:rsidR="00A11F97">
        <w:rPr>
          <w:rFonts w:cs="Arial"/>
        </w:rPr>
        <w:t xml:space="preserve">(SDS) confirming your employment status </w:t>
      </w:r>
      <w:r>
        <w:rPr>
          <w:rFonts w:cs="Arial"/>
        </w:rPr>
        <w:t xml:space="preserve">for tax purposes.  </w:t>
      </w:r>
      <w:r>
        <w:rPr>
          <w:rFonts w:eastAsiaTheme="minorHAnsi" w:cs="Arial"/>
        </w:rPr>
        <w:t>A</w:t>
      </w:r>
      <w:r w:rsidRPr="008707C0">
        <w:rPr>
          <w:rFonts w:eastAsiaTheme="minorHAnsi" w:cs="Arial"/>
        </w:rPr>
        <w:t xml:space="preserve"> copy of the HMRC CEST report</w:t>
      </w:r>
      <w:r>
        <w:rPr>
          <w:rFonts w:eastAsiaTheme="minorHAnsi" w:cs="Arial"/>
        </w:rPr>
        <w:t xml:space="preserve"> is also </w:t>
      </w:r>
      <w:r w:rsidR="008A478E">
        <w:rPr>
          <w:rFonts w:eastAsiaTheme="minorHAnsi" w:cs="Arial"/>
        </w:rPr>
        <w:t xml:space="preserve">enclosed and </w:t>
      </w:r>
      <w:r w:rsidRPr="008707C0">
        <w:rPr>
          <w:rFonts w:eastAsiaTheme="minorHAnsi" w:cs="Arial"/>
        </w:rPr>
        <w:t>provides the reasons for the determination.</w:t>
      </w:r>
      <w:r w:rsidR="008A478E">
        <w:rPr>
          <w:rFonts w:eastAsiaTheme="minorHAnsi" w:cs="Arial"/>
        </w:rPr>
        <w:t xml:space="preserve">  </w:t>
      </w:r>
      <w:r w:rsidR="008A478E" w:rsidRPr="008707C0">
        <w:rPr>
          <w:rFonts w:eastAsiaTheme="minorHAnsi" w:cs="Arial"/>
        </w:rPr>
        <w:t xml:space="preserve">If you </w:t>
      </w:r>
      <w:r w:rsidR="008A478E">
        <w:rPr>
          <w:rFonts w:eastAsiaTheme="minorHAnsi" w:cs="Arial"/>
        </w:rPr>
        <w:t>disagree with</w:t>
      </w:r>
      <w:r w:rsidR="008A478E" w:rsidRPr="008707C0">
        <w:rPr>
          <w:rFonts w:eastAsiaTheme="minorHAnsi" w:cs="Arial"/>
        </w:rPr>
        <w:t xml:space="preserve"> the determination, </w:t>
      </w:r>
      <w:r w:rsidR="008A478E">
        <w:rPr>
          <w:rFonts w:eastAsiaTheme="minorHAnsi" w:cs="Arial"/>
        </w:rPr>
        <w:t xml:space="preserve">please refer to the SDS for the </w:t>
      </w:r>
      <w:r w:rsidR="00246657">
        <w:rPr>
          <w:rFonts w:cs="Arial"/>
        </w:rPr>
        <w:t xml:space="preserve">appeals process.  </w:t>
      </w:r>
    </w:p>
    <w:p w:rsidR="00246657" w:rsidRPr="00A11F97" w:rsidRDefault="00246657" w:rsidP="00C9607F">
      <w:pPr>
        <w:jc w:val="both"/>
        <w:rPr>
          <w:lang w:val="en"/>
        </w:rPr>
      </w:pPr>
    </w:p>
    <w:p w:rsidR="007E33A7" w:rsidRPr="00C77EB1" w:rsidRDefault="00C77EB1" w:rsidP="00C9607F">
      <w:pPr>
        <w:jc w:val="both"/>
        <w:rPr>
          <w:rFonts w:cs="Arial"/>
        </w:rPr>
      </w:pPr>
      <w:r>
        <w:rPr>
          <w:rFonts w:cs="Arial"/>
        </w:rPr>
        <w:t>In the meantime, s</w:t>
      </w:r>
      <w:r w:rsidRPr="00C77EB1">
        <w:rPr>
          <w:rFonts w:cs="Arial"/>
        </w:rPr>
        <w:t xml:space="preserve">hould you have any queries in relation to the above </w:t>
      </w:r>
      <w:r w:rsidR="007E33A7" w:rsidRPr="00C77EB1">
        <w:rPr>
          <w:rFonts w:cs="Arial"/>
        </w:rPr>
        <w:t xml:space="preserve">please </w:t>
      </w:r>
      <w:r w:rsidRPr="00C77EB1">
        <w:rPr>
          <w:rFonts w:cs="Arial"/>
        </w:rPr>
        <w:t xml:space="preserve">do not hesitate to contact me.  </w:t>
      </w:r>
    </w:p>
    <w:p w:rsidR="007E33A7" w:rsidRPr="00C77EB1" w:rsidRDefault="007E33A7" w:rsidP="00C9607F">
      <w:pPr>
        <w:ind w:left="-397" w:firstLine="397"/>
        <w:jc w:val="both"/>
        <w:rPr>
          <w:rFonts w:cs="Arial"/>
        </w:rPr>
      </w:pPr>
    </w:p>
    <w:p w:rsidR="007E33A7" w:rsidRPr="005F1EAF" w:rsidRDefault="007E33A7" w:rsidP="00C9607F">
      <w:pPr>
        <w:ind w:left="-397" w:firstLine="397"/>
        <w:jc w:val="both"/>
        <w:rPr>
          <w:rFonts w:cs="Arial"/>
          <w:sz w:val="22"/>
          <w:szCs w:val="22"/>
        </w:rPr>
      </w:pPr>
      <w:r w:rsidRPr="005F1EAF">
        <w:rPr>
          <w:rFonts w:cs="Arial"/>
          <w:sz w:val="22"/>
          <w:szCs w:val="22"/>
        </w:rPr>
        <w:t>Yours sincerely</w:t>
      </w:r>
    </w:p>
    <w:p w:rsidR="007E33A7" w:rsidRPr="005F1EAF" w:rsidRDefault="007E33A7" w:rsidP="00C9607F">
      <w:pPr>
        <w:ind w:left="-426" w:firstLine="426"/>
        <w:jc w:val="both"/>
        <w:rPr>
          <w:rFonts w:cs="Arial"/>
          <w:sz w:val="22"/>
          <w:szCs w:val="22"/>
        </w:rPr>
      </w:pPr>
    </w:p>
    <w:p w:rsidR="007E33A7" w:rsidRPr="005F1EAF" w:rsidRDefault="007E33A7" w:rsidP="00C9607F">
      <w:pPr>
        <w:ind w:left="-426" w:firstLine="426"/>
        <w:jc w:val="both"/>
        <w:rPr>
          <w:rFonts w:cs="Arial"/>
          <w:sz w:val="22"/>
          <w:szCs w:val="22"/>
        </w:rPr>
      </w:pPr>
    </w:p>
    <w:p w:rsidR="007E33A7" w:rsidRPr="005F1EAF" w:rsidRDefault="002E189E" w:rsidP="00C9607F">
      <w:pPr>
        <w:ind w:left="-426" w:firstLine="42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Head Teacher </w:t>
      </w:r>
    </w:p>
    <w:p w:rsidR="007E33A7" w:rsidRPr="005F1EAF" w:rsidRDefault="007E33A7" w:rsidP="00C9607F">
      <w:pPr>
        <w:jc w:val="both"/>
        <w:rPr>
          <w:rFonts w:cs="Arial"/>
          <w:sz w:val="22"/>
          <w:szCs w:val="22"/>
        </w:rPr>
      </w:pPr>
    </w:p>
    <w:p w:rsidR="00C77EB1" w:rsidRDefault="00C77EB1" w:rsidP="00C9607F">
      <w:pPr>
        <w:ind w:left="720" w:hanging="71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CC.</w:t>
      </w:r>
      <w:r>
        <w:rPr>
          <w:rFonts w:cs="Arial"/>
          <w:sz w:val="22"/>
          <w:szCs w:val="22"/>
        </w:rPr>
        <w:tab/>
        <w:t>INSERT NAME OF AGENCY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delete if worker not engage</w:t>
      </w:r>
      <w:r w:rsidR="004A70C6">
        <w:rPr>
          <w:rFonts w:cs="Arial"/>
          <w:sz w:val="22"/>
          <w:szCs w:val="22"/>
        </w:rPr>
        <w:t>d</w:t>
      </w:r>
      <w:r>
        <w:rPr>
          <w:rFonts w:cs="Arial"/>
          <w:sz w:val="22"/>
          <w:szCs w:val="22"/>
        </w:rPr>
        <w:t xml:space="preserve"> through Agency </w:t>
      </w:r>
    </w:p>
    <w:p w:rsidR="007E33A7" w:rsidRPr="005F1EAF" w:rsidRDefault="00C77EB1" w:rsidP="00C9607F">
      <w:pPr>
        <w:ind w:left="720" w:hanging="71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                                                           Worker</w:t>
      </w:r>
    </w:p>
    <w:sectPr w:rsidR="007E33A7" w:rsidRPr="005F1EAF" w:rsidSect="007E33A7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C0653"/>
    <w:multiLevelType w:val="multilevel"/>
    <w:tmpl w:val="B4BE6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F9053E"/>
    <w:multiLevelType w:val="hybridMultilevel"/>
    <w:tmpl w:val="B03EDB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D2735E"/>
    <w:multiLevelType w:val="hybridMultilevel"/>
    <w:tmpl w:val="40B23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F1176C"/>
    <w:multiLevelType w:val="hybridMultilevel"/>
    <w:tmpl w:val="29A86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925288"/>
    <w:multiLevelType w:val="hybridMultilevel"/>
    <w:tmpl w:val="03DC5C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3A7"/>
    <w:rsid w:val="00246657"/>
    <w:rsid w:val="002500E8"/>
    <w:rsid w:val="0029494F"/>
    <w:rsid w:val="002E189E"/>
    <w:rsid w:val="00316347"/>
    <w:rsid w:val="004A70C6"/>
    <w:rsid w:val="004B34E4"/>
    <w:rsid w:val="006910BC"/>
    <w:rsid w:val="007E33A7"/>
    <w:rsid w:val="00835DF3"/>
    <w:rsid w:val="00881B18"/>
    <w:rsid w:val="008A478E"/>
    <w:rsid w:val="008A5818"/>
    <w:rsid w:val="008F706F"/>
    <w:rsid w:val="009615B2"/>
    <w:rsid w:val="00A11F97"/>
    <w:rsid w:val="00AA636D"/>
    <w:rsid w:val="00AB6656"/>
    <w:rsid w:val="00AB6F8B"/>
    <w:rsid w:val="00AF7A5D"/>
    <w:rsid w:val="00B139BB"/>
    <w:rsid w:val="00C06698"/>
    <w:rsid w:val="00C77EB1"/>
    <w:rsid w:val="00C9607F"/>
    <w:rsid w:val="00D039F6"/>
    <w:rsid w:val="00D14B01"/>
    <w:rsid w:val="00D72152"/>
    <w:rsid w:val="00D72972"/>
    <w:rsid w:val="00E30950"/>
    <w:rsid w:val="00EE6197"/>
    <w:rsid w:val="00F14C42"/>
    <w:rsid w:val="00F544C9"/>
    <w:rsid w:val="00F71009"/>
    <w:rsid w:val="00FA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" w:eastAsiaTheme="minorHAnsi" w:hAnsi="Courier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3A7"/>
    <w:rPr>
      <w:rFonts w:ascii="Arial" w:eastAsia="Times New Roman" w:hAnsi="Arial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autoRedefine/>
    <w:qFormat/>
    <w:rsid w:val="007E33A7"/>
    <w:pPr>
      <w:keepNext/>
      <w:spacing w:before="240" w:after="60"/>
      <w:outlineLvl w:val="1"/>
    </w:pPr>
    <w:rPr>
      <w:rFonts w:cs="Arial"/>
      <w:b/>
      <w:bCs/>
      <w:iCs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E33A7"/>
    <w:rPr>
      <w:rFonts w:ascii="Arial" w:eastAsia="Times New Roman" w:hAnsi="Arial" w:cs="Arial"/>
      <w:b/>
      <w:bCs/>
      <w:iCs/>
      <w:sz w:val="24"/>
      <w:szCs w:val="24"/>
      <w:lang w:val="en" w:eastAsia="en-US"/>
    </w:rPr>
  </w:style>
  <w:style w:type="paragraph" w:styleId="ListParagraph">
    <w:name w:val="List Paragraph"/>
    <w:basedOn w:val="Normal"/>
    <w:uiPriority w:val="34"/>
    <w:qFormat/>
    <w:rsid w:val="007E33A7"/>
    <w:pPr>
      <w:spacing w:after="80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7E33A7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7E33A7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7E3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16347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3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347"/>
    <w:rPr>
      <w:rFonts w:ascii="Tahoma" w:eastAsia="Times New Roman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729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29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2972"/>
    <w:rPr>
      <w:rFonts w:ascii="Arial" w:eastAsia="Times New Roman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29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2972"/>
    <w:rPr>
      <w:rFonts w:ascii="Arial" w:eastAsia="Times New Roman" w:hAnsi="Arial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" w:eastAsiaTheme="minorHAnsi" w:hAnsi="Courier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3A7"/>
    <w:rPr>
      <w:rFonts w:ascii="Arial" w:eastAsia="Times New Roman" w:hAnsi="Arial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autoRedefine/>
    <w:qFormat/>
    <w:rsid w:val="007E33A7"/>
    <w:pPr>
      <w:keepNext/>
      <w:spacing w:before="240" w:after="60"/>
      <w:outlineLvl w:val="1"/>
    </w:pPr>
    <w:rPr>
      <w:rFonts w:cs="Arial"/>
      <w:b/>
      <w:bCs/>
      <w:iCs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E33A7"/>
    <w:rPr>
      <w:rFonts w:ascii="Arial" w:eastAsia="Times New Roman" w:hAnsi="Arial" w:cs="Arial"/>
      <w:b/>
      <w:bCs/>
      <w:iCs/>
      <w:sz w:val="24"/>
      <w:szCs w:val="24"/>
      <w:lang w:val="en" w:eastAsia="en-US"/>
    </w:rPr>
  </w:style>
  <w:style w:type="paragraph" w:styleId="ListParagraph">
    <w:name w:val="List Paragraph"/>
    <w:basedOn w:val="Normal"/>
    <w:uiPriority w:val="34"/>
    <w:qFormat/>
    <w:rsid w:val="007E33A7"/>
    <w:pPr>
      <w:spacing w:after="80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7E33A7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7E33A7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7E3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16347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3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347"/>
    <w:rPr>
      <w:rFonts w:ascii="Tahoma" w:eastAsia="Times New Roman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729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29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2972"/>
    <w:rPr>
      <w:rFonts w:ascii="Arial" w:eastAsia="Times New Roman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29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2972"/>
    <w:rPr>
      <w:rFonts w:ascii="Arial" w:eastAsia="Times New Roman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9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64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91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84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4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836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4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4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9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80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64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904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uk/guidance/check-employment-status-for-ta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Lincolnshire County Council</Company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 Sheppard</dc:creator>
  <cp:lastModifiedBy>Mark Goodliffe</cp:lastModifiedBy>
  <cp:revision>7</cp:revision>
  <dcterms:created xsi:type="dcterms:W3CDTF">2021-02-09T08:11:00Z</dcterms:created>
  <dcterms:modified xsi:type="dcterms:W3CDTF">2021-02-09T15:18:00Z</dcterms:modified>
</cp:coreProperties>
</file>